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A deterministic, priority-ordered, rule-based classifier assigns each DDR's 24-hour narrative to one of 13 phases. It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DDR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 The results show that neither the structured fields nor the national register alone gives a complete well history; the narrative reports are needed to correct both.</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 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contribution is the combination, on a real, openly licensed field archive, of a transparent classifier, an estimate of what that classifier misses, validation against the regulator's register for every wellbore rather than a subset, and a description of the data-quality problems that any other user of the archive will meet. The paper is written to be self-contained: a reader with this text, the openly available Volve dataset (Equinor 2018), and the accompanying repository should be able to reproduce every reported figure.</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Several studies have extracted structured information from the free text of drilling reports.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(2018) applied deep natural language processing to classify sentences in 9,670 daily reports from a field of 303 wells as events, symptoms, or actions, and noted the difficulty created by technical symbols, abbreviations, misspellings, and incomplete sentences. Zhang et al. (2022) built a rule-based detector for five unscheduled events (stuck pipe, lost circulation, water influx, gas influx and H2S) in about 128,000 free-text remarks from daily mud reports; the rule-based model was precise but missed events, with accuracy falling to 65.18% on a larger test set, and a hybrid that used its output to train a weakly supervised deep learning model improved detection by more than 20 percentage points.</w:t>
      </w:r>
    </w:p>
    <w:p>
      <w:pPr>
        <w:spacing w:after="120" w:line="264"/>
        <w:jc w:val="both"/>
      </w:pPr>
      <w:r>
        <w:rPr>
          <w:rFonts w:ascii="Times New Roman" w:cs="Times New Roman" w:eastAsia="Times New Roman" w:hAnsi="Times New Roman"/>
          <w:sz w:val="20"/>
          <w:szCs w:val="20"/>
        </w:rPr>
        <w:t>Karnot et al. (2025) combine change-point detection, semi-supervised natural language processing and sequence mining for root-cause analysis of non-productive time, applied to 701 DDRs from 10 wells. Their Dataset section states that "all analyses used synthetic datasets constructed to emulate typical drilling records". Their sequence-mining section, which they describe as a proof-of-concept analysis, states that "rigorous validation and quantitative performance assessment are left for future work". Their abstract and conclusions nevertheless report an average 18.5% reduction in non-productive time in field applications.</w:t>
      </w:r>
    </w:p>
    <w:p>
      <w:pPr>
        <w:spacing w:after="120" w:line="264"/>
        <w:jc w:val="both"/>
      </w:pPr>
      <w:r>
        <w:rPr>
          <w:rFonts w:ascii="Times New Roman" w:cs="Times New Roman" w:eastAsia="Times New Roman" w:hAnsi="Times New Roman"/>
          <w:sz w:val="20"/>
          <w:szCs w:val="20"/>
        </w:rPr>
        <w:t>The Volve dataset itself is an established benchmark for drilling analytics. Tunkiel et al. (2021),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The common limitation across the published DDR work is that its data are proprietary or synthetic rather than an openly available archive, so its results cannot be reproduced or extended by others. The present paper differs in three respects: (1) it uses a deterministic, auditable classifier, trading model sophistication for transparency of every decision; (2) it works exclusively with a real, openly licensed archive; and (3) it pairs classification with a stratified audit of the unclassified residual using a documented sampling frame and a Wilson-score interval (Wilson 1927), and with validation of total depth and spud date against a national register for the complete wellbore population. The audit in this paper measures the same weakness of rule-based classification, the events it misses, directly on the unclassified residual.</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DDR archive was extracted from the Volve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spacing w:after="120" w:line="264"/>
        <w:jc w:val="both"/>
      </w:pPr>
      <w:r>
        <w:rPr>
          <w:rFonts w:ascii="Times New Roman" w:cs="Times New Roman" w:eastAsia="Times New Roman" w:hAnsi="Times New Roman"/>
          <w:sz w:val="20"/>
          <w:szCs w:val="20"/>
        </w:rPr>
        <w:t>Table 1 shows one report as stored in the archive: the structured fields the pipeline uses and the free-text summary that the classifier reads, quoted in full. The example is a real construction report whose summary contains the one-half sign.</w:t>
      </w:r>
    </w:p>
    <w:p>
      <w:pPr>
        <w:keepNext/>
        <w:spacing w:after="80" w:before="160"/>
      </w:pPr>
      <w:r>
        <w:rPr>
          <w:rFonts w:ascii="Times New Roman" w:cs="Times New Roman" w:eastAsia="Times New Roman" w:hAnsi="Times New Roman"/>
          <w:b/>
          <w:bCs/>
          <w:sz w:val="20"/>
          <w:szCs w:val="20"/>
        </w:rPr>
        <w:t>Table 1: Example DDR as stored in the archive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Field</w:t>
            </w:r>
          </w:p>
        </w:tc>
        <w:tc>
          <w:tcPr>
            <w:tcW w:type="dxa" w:w="4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Value</w:t>
            </w:r>
          </w:p>
        </w:tc>
        <w:tc>
          <w:tcPr>
            <w:tcW w:type="dxa" w:w="3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Meaning</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wellbore</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wellbore the report belongs to</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date_report</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2007-12-21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day the report covers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1,415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measured depth reached, along the hole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dTimSpud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date in the report header, the same in every report of the wellbore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md_kickoff</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absent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kick-off depth field: empty in this report, as in most reports (Table 3)</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md_csg_last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220.8</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of the last casing shoe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forecast24hr (abridged)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Complete handling of 17½" BHA. Rig up for running 13 3/8" casing ...</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plan for the next 24 hours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sum24Hr</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“Drilled 17 1/2" section from 1101 m to 1415 m MD. Circulated well clean. Displaced well to 1.40 SG mud. POOH with 17½" BHA. Had tight spot at 1123 m, rotated through. Tight spots at 796, 775, 519 and 481m, pulled through with 10-15 MT overpull. Rack back BHA.”</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free-text summary of the past 24 hours: the text the classifier reads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Phase assigned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 (priority 3)</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classifier's result: the 17½ in. section matches the Intermediate drilling patterns, in either spelling of the size</w:t>
            </w:r>
          </w:p>
        </w:tc>
      </w:tr>
    </w:tbl>
    <w:p>
      <w:pPr>
        <w:spacing w:after="160"/>
      </w:pPr>
      <w:r>
        <w:rPr>
          <w:rFonts w:ascii="Times New Roman" w:cs="Times New Roman" w:eastAsia="Times New Roman" w:hAnsi="Times New Roman"/>
          <w:i/>
          <w:iCs/>
          <w:sz w:val="18"/>
          <w:szCs w:val="18"/>
        </w:rPr>
        <w:t>Source: Equinor Volve dataset (Equinor 2018), file 15_9_F_5_2007_12_21.xml. The summary of 49 words is quoted in full; the forecast is abridged. The kick-off field is empty in this report, as in most reports (Table 3).</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Norwegian wellbore names follow guidelines issued by the national regulator (NOD 2025).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Fraction characters such as ½ and ¼, routine in the mixed units of drilling reports, are stored as single special characters that a pattern written as "1/2" does not match, so they are converted to that form before matching. The priority order is the order listed above.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Table 2 lists the 13 phases in priority order with representative triggers taken from the pattern table of the repository (outputs/stage4_priority_rules.csv). Sizes are matched in the spellings found in the reports, for example 17 1/2 or 17.5; words are matched without regard to case; each phase has further patterns that are not shown.</w:t>
      </w:r>
    </w:p>
    <w:p>
      <w:pPr>
        <w:keepNext/>
        <w:spacing w:after="80" w:before="160"/>
      </w:pPr>
      <w:r>
        <w:rPr>
          <w:rFonts w:ascii="Times New Roman" w:cs="Times New Roman" w:eastAsia="Times New Roman" w:hAnsi="Times New Roman"/>
          <w:b/>
          <w:bCs/>
          <w:sz w:val="20"/>
          <w:szCs w:val="20"/>
        </w:rPr>
        <w:t>Table 2: Phases in priority order with representative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100"/>
        <w:gridCol w:w="4060"/>
      </w:tblGrid>
      <w:tr>
        <w:trPr>
          <w:cantSplit/>
          <w:tblHeader/>
        </w:trPr>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Priority</w:t>
            </w:r>
          </w:p>
        </w:tc>
        <w:tc>
          <w:tcPr>
            <w:tcW w:type="dxa" w:w="2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Hole and casing sizes (in.)</w:t>
            </w:r>
          </w:p>
        </w:tc>
        <w:tc>
          <w:tcPr>
            <w:tcW w:type="dxa" w:w="40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Example trigger words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Spud/Conductor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36, 30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tagged sea bottom</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Surface hole and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26, 20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(size only)</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17½</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(size only)</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13⅜, 10¾, 14</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(size only)</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in. and smaller hole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8½, 6</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cut core, coring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Liner/Casing run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9⅝, 7</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 surface tieback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 cemented, cementing, bumped plug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 production packer, packer, tubing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P&amp;A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EZSV, EVO plug, P&amp;A, abandon</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Logging/Testing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 LWD, MWD, VSP</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 coiled tubing, sidetrack, whipstock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Waiting/Downtime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WOW, waiting on weather, rig maintenance, general maintenance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Rig move/Setup</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skidded rig, positioned rig, mooring, ballast</w:t>
            </w:r>
          </w:p>
        </w:tc>
      </w:tr>
    </w:tbl>
    <w:p>
      <w:pPr>
        <w:spacing w:after="160"/>
      </w:pPr>
      <w:r>
        <w:rPr>
          <w:rFonts w:ascii="Times New Roman" w:cs="Times New Roman" w:eastAsia="Times New Roman" w:hAnsi="Times New Roman"/>
          <w:i/>
          <w:iCs/>
          <w:sz w:val="18"/>
          <w:szCs w:val="18"/>
        </w:rPr>
        <w:t>A report is assigned to the highest-priority phase with a match; a report that matches no pattern is Unclassified.</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The audit estimates how many unclassified DDRs describe construction operations the pattern set failed to catch. First, a leak check reapplied the complete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The unclassified reports were split into two strata, an early construction group (reports within 730 days of the wellbore's first report, 296 records) and a later production group (reports more than 730 days after it, 87 records; 296 + 87 = 383), and a random sample was drawn from each in proportion to its size: 39 construction-group and 11 production-group records (39 + 11 = 50). The random draw is recorded in the repository so the same sample can be drawn again; the rerun of the analysis from the raw files kept this sample and its groups, after confirming that each of the 50 records maps to exactly one DDR file. The author read each sampled report and labelled it construction if it described work that builds the well: drilling ahead, coring, running or cementing casing, setting plugs, fishing, or completion. Reports that only described handling the BOP or riser, tripping, waiting or production were labelled non-construction, unless they also named a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 All comparisons are against the current register as accessed in October 2026.</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A population survey of ten WITSML-derived columns was conducted across all 1,759 DDRs (Table 3).</w:t>
      </w:r>
    </w:p>
    <w:p>
      <w:pPr>
        <w:keepNext/>
        <w:spacing w:after="80" w:before="160"/>
      </w:pPr>
      <w:r>
        <w:rPr>
          <w:rFonts w:ascii="Times New Roman" w:cs="Times New Roman" w:eastAsia="Times New Roman" w:hAnsi="Times New Roman"/>
          <w:b/>
          <w:bCs/>
          <w:sz w:val="20"/>
          <w:szCs w:val="20"/>
        </w:rPr>
        <w:t>Table 3: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fraction character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with the wrong encoding turns ½ into Â½ (for example 'due to double 3 Â½" DP' instead of 'due to double 3 ½" DP'), so the encoding must be set explicitly.</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the classifier to all 1,759 DDRs classifies 1,303 records (74.1%) and leaves 456 unclassified (25.9%); 1,303 + 456 = 1,759. The classifier was also checked against an independent earlier extraction of the same archive by the author, with identical results for all 1,759 reports. Table 4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Table 4: Phase distribution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Of the 50 sampled reports, 26 (52%) were labelled construction and 24 (48%) non-construction. The construction group (39 reports) split 23 construction to 16 non-construction, and the production group (11 reports) split 3 to 8. The 26 construction reports that the classifier missed fall into three kinds: genuine drilling reported without a hole size (9); other operations, such as hydraulic fracturing or fishing, with no corresponding pattern (10); and non-standard terms, such as "CMT" for cement (7); 9 + 10 + 7 = 26. Scaled to the 383-report frame, this is about 199 reports, so a complete pattern set would classify about 85.4% of the 1,759 reports (95% confidence interval 82.5 to 88.3%). The arithmetic, including the stratum-weighted check, is in Appendix B.</w:t>
      </w:r>
    </w:p>
    <w:p>
      <w:pPr>
        <w:spacing w:after="120" w:line="264"/>
        <w:jc w:val="both"/>
      </w:pPr>
      <w:r>
        <w:rPr>
          <w:rFonts w:ascii="Times New Roman" w:cs="Times New Roman" w:eastAsia="Times New Roman" w:hAnsi="Times New Roman"/>
          <w:sz w:val="20"/>
          <w:szCs w:val="20"/>
        </w:rPr>
        <w:t>The 73 DDRs whose narrative is the literal string "None"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8; only reports with a valid depth are plotted.</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Maximum reconstructed measured depth per wellbore was compared with NOD's total depth for all 26 wellbores (Table 5, Fig. 3).</w:t>
      </w:r>
    </w:p>
    <w:p>
      <w:pPr>
        <w:keepNext/>
        <w:spacing w:after="80" w:before="160"/>
      </w:pPr>
      <w:r>
        <w:rPr>
          <w:rFonts w:ascii="Times New Roman" w:cs="Times New Roman" w:eastAsia="Times New Roman" w:hAnsi="Times New Roman"/>
          <w:b/>
          <w:bCs/>
          <w:sz w:val="20"/>
          <w:szCs w:val="20"/>
        </w:rPr>
        <w:t>Table 5: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5 uses the structured field, consistent with every other wellbore. The 227 m gap is a records-coverage gap: the archive does not contain reports for this wellbore's final drilling and suspension. The archive's reports for this wellbore are incomplete throughout, with 39 reports over 91 days (Table 8), and the cause cannot be determined from the records.</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6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6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Table 6: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report and its narrative by 91 to 340 days, while the first report and the NOD date agree with each other. 15/9-F-12 is the clearest example: the first report (14 June 2007), which describes making up the 36 in. hole opener, and the NOD entry date agree,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Kick-off here means the depth at which a sidetrack departs its parent wellbore, not the depth at which an original wellbore begins to build angle; the structured kick-off field of 15/9-19 S (562 m in all its reports) is consistent with the latter and is not used. The kick-off depth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7).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17½ in. hole from that depth, so the kick-off is 1,364 m. The depth of 3,059 m that the narratives report on 13 March 2014 is the start of the 8½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7: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NOD lists 15/9-19 S as the parent; the re-entry from which 15/9-19 A was drilled (NOD 15/9-19 SR2, 1997) has no WITSML reports, so the kick-off is read from the 15/9-19 A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8 gives, for each wellbore, the first report (the 1980 date sentinel excluded), the date total depth was first reached (the maximum valid depth of Table 5), the elapsed calendar days from the first report to that date, the number of reports in that span (inclusive), the drilled length (total depth minus the kick-off depth of Table 7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8: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7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8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labelled construction content only. Unclassified records describing operations that belong to non-construction phases in the classifier (for example waiting or rig moves) were labelled non-construction, so the attainable rate is conservative with respect to those phases. The sample of 50 was labelled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group that does not reflect their operational context, although both were labelled correctly on content. The 1980 date sentinel for 15/9-19 A places that wellbore's 1997 drilling in the production group, and 15/9-F-1's 2013 drilling campaign reports also fall into the production group.</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8).</w:t>
      </w:r>
    </w:p>
    <w:p>
      <w:pPr>
        <w:spacing w:after="120" w:line="264"/>
        <w:jc w:val="both"/>
      </w:pPr>
      <w:r>
        <w:rPr>
          <w:rFonts w:ascii="Times New Roman" w:cs="Times New Roman" w:eastAsia="Times New Roman" w:hAnsi="Times New Roman"/>
          <w:sz w:val="20"/>
          <w:szCs w:val="20"/>
        </w:rPr>
        <w:t>No isolated ablation was run for the effect of Unicode normalisation on the classification rate. The survey confirms 61 DDRs contain ½ and 10 contain ¼, and the normalisation handles both, but its effect was not separated from other refinements of the pattern set.</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spacing w:after="120" w:line="264"/>
        <w:jc w:val="both"/>
      </w:pPr>
      <w:r>
        <w:rPr>
          <w:rFonts w:ascii="Times New Roman" w:cs="Times New Roman" w:eastAsia="Times New Roman" w:hAnsi="Times New Roman"/>
          <w:sz w:val="20"/>
          <w:szCs w:val="20"/>
        </w:rPr>
        <w:t>This paper shows three things. First, a field's daily drilling reports can be turned into a construction history that is checked against the regulator's register and whose error is measured, using a method anyone can inspect and rerun. Second, the structured fields of a WITSML archive cannot be trusted on their own: spud dates, kick-off depths and placeholder values all needed the narrative or the national register to correct them, and a kick-off read naively from the narrative can pick up the start of a hole section instead of the point where the sidetrack leaves its parent (3,059 m against 1,364 m for 15/9-F-1 C). Third, the national register alone does not give a complete inventory of what was drilled: abandoned parent legs, shared upper hole and missing campaigns appear only when the reports are reconstructed. For anyone screening old wells for CO2 storage or decommissioning, the practical lesson is to reconstruct the well history from the reports before relying on either source alone.</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8½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labeller,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labels,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the extraction and analysis code, the 1,421-row timeline dataset, the audit labels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data files of the repository hold only file names, dates, depths, categories and quotes of 15 words or fewer. The check against the author's earlier extraction (Section 5.1) is reported but is not needed to reproduce any figure.</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BHA  =  bottom-hole assembly</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DP  =  drill pipe</w:t>
      </w:r>
    </w:p>
    <w:p>
      <w:pPr>
        <w:spacing w:after="40"/>
      </w:pPr>
      <w:r>
        <w:rPr>
          <w:rFonts w:ascii="Times New Roman" w:cs="Times New Roman" w:eastAsia="Times New Roman" w:hAnsi="Times New Roman"/>
          <w:sz w:val="20"/>
          <w:szCs w:val="20"/>
        </w:rPr>
        <w:t>EZSV  =  EZ Drill squeeze valve (cement retainer)</w:t>
      </w:r>
    </w:p>
    <w:p>
      <w:pPr>
        <w:spacing w:after="40"/>
      </w:pPr>
      <w:r>
        <w:rPr>
          <w:rFonts w:ascii="Times New Roman" w:cs="Times New Roman" w:eastAsia="Times New Roman" w:hAnsi="Times New Roman"/>
          <w:sz w:val="20"/>
          <w:szCs w:val="20"/>
        </w:rPr>
        <w:t>LWD  =  logging while drilling</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MT  =  metric tonnes</w:t>
      </w:r>
    </w:p>
    <w:p>
      <w:pPr>
        <w:spacing w:after="40"/>
      </w:pPr>
      <w:r>
        <w:rPr>
          <w:rFonts w:ascii="Times New Roman" w:cs="Times New Roman" w:eastAsia="Times New Roman" w:hAnsi="Times New Roman"/>
          <w:sz w:val="20"/>
          <w:szCs w:val="20"/>
        </w:rPr>
        <w:t>MWD  =  measurement while drilling</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POOH  =  pull out of hole</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SG  =  specific gravity</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VSP  =  vertical seismic profile</w:t>
      </w:r>
    </w:p>
    <w:p>
      <w:pPr>
        <w:spacing w:after="40"/>
      </w:pPr>
      <w:r>
        <w:rPr>
          <w:rFonts w:ascii="Times New Roman" w:cs="Times New Roman" w:eastAsia="Times New Roman" w:hAnsi="Times New Roman"/>
          <w:sz w:val="20"/>
          <w:szCs w:val="20"/>
        </w:rPr>
        <w:t xml:space="preserve">WITSML  =  Wellsite Information Transfer Standard Markup Language</w:t>
      </w:r>
    </w:p>
    <w:p>
      <w:pPr>
        <w:spacing w:after="40"/>
      </w:pPr>
      <w:r>
        <w:rPr>
          <w:rFonts w:ascii="Times New Roman" w:cs="Times New Roman" w:eastAsia="Times New Roman" w:hAnsi="Times New Roman"/>
          <w:sz w:val="20"/>
          <w:szCs w:val="20"/>
        </w:rPr>
        <w:t>WOW  =  waiting on weather</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Hoffimann, J., Mao, Y., Wesley, A., and Taylor, A. 2018. Sequence Mining and Pattern Analysis in Drilling Reports with Deep Natural Language Processing. Presented at the SPE Annual Technical Conference and Exhibition, Dallas, Texas, USA, 24–26 September. SPE-191505-MS. https://doi.org/10.2118/191505-MS.</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2025. Guidelines for Designation of Wells and Wellbores (revision of 28 March 2025).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Priyadarshy, S., Taylor, A., Dev, A., Venugopal, S., and Nair, G.G. 2017. Framework for Prediction of NPT Causes Using Unstructured Reports. Presented at the Offshore Technology Conference, Houston, Texas, USA, 1–4 May.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3–5 March.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2021.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8)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(242 entries, each with the producing script and function, the SHA-256 of its input files and an execution timestamp). The audit estimates in Section 5.2 are derived arithmetically from registry entries, and the arithmetic is shown in Appendix B.</w:t>
      </w:r>
    </w:p>
    <w:p>
      <w:pPr>
        <w:pStyle w:val="Heading1"/>
        <w:keepNext/>
        <w:spacing w:after="120" w:before="240"/>
      </w:pPr>
      <w:r>
        <w:rPr>
          <w:rFonts w:ascii="Times New Roman" w:cs="Times New Roman" w:eastAsia="Times New Roman" w:hAnsi="Times New Roman"/>
          <w:b/>
          <w:bCs/>
          <w:sz w:val="22"/>
          <w:szCs w:val="22"/>
        </w:rPr>
        <w:t>Appendix B: Audit Arithmetic</w:t>
      </w:r>
    </w:p>
    <w:p>
      <w:pPr>
        <w:spacing w:after="120" w:line="264"/>
        <w:jc w:val="both"/>
      </w:pPr>
      <w:r>
        <w:rPr>
          <w:rFonts w:ascii="Times New Roman" w:cs="Times New Roman" w:eastAsia="Times New Roman" w:hAnsi="Times New Roman"/>
          <w:sz w:val="20"/>
          <w:szCs w:val="20"/>
        </w:rPr>
        <w:t>This appendix gives the arithmetic behind the attainable classification rate of Section 5.2.</w:t>
      </w:r>
    </w:p>
    <w:p>
      <w:pPr>
        <w:spacing w:after="120" w:line="264"/>
        <w:jc w:val="both"/>
      </w:pPr>
      <w:r>
        <w:rPr>
          <w:rFonts w:ascii="Times New Roman" w:cs="Times New Roman" w:eastAsia="Times New Roman" w:hAnsi="Times New Roman"/>
          <w:sz w:val="20"/>
          <w:szCs w:val="20"/>
        </w:rPr>
        <w:t>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