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A deterministic, priority-ordered, rule-based classifier assigns each DDR's 24-hour narrative to one of 13 phases. It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DDR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 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contribution is the combination, on a real, openly licensed field archive, of a transparent classifier, an estimate of what that classifier misses, validation against the regulator's register for every wellbore rather than a subset, and a description of the data-quality problems that any other user of the archive will meet. The paper is written to be self-contained: a reader with this text, the openly available Volve dataset (Equinor 2018), and the accompanying repository should be able to reproduce every reported figure.</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Several studies have extracted structured information from the free text of drilling reports.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The common limitation across the published DDR work is that it relies on proprietary or synthetic data, so its results cannot be reproduced or extended by others. The present paper differs in three respects: (1) it uses a deterministic, auditable classifier, trading model sophistication for transparency of every decision; (2) it works exclusively with a real, openly licensed archive; and (3)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DDR archive was extracted from the Volve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spacing w:after="120" w:line="264"/>
        <w:jc w:val="both"/>
      </w:pPr>
      <w:r>
        <w:rPr>
          <w:rFonts w:ascii="Times New Roman" w:cs="Times New Roman" w:eastAsia="Times New Roman" w:hAnsi="Times New Roman"/>
          <w:sz w:val="20"/>
          <w:szCs w:val="20"/>
        </w:rPr>
        <w:t>Table 1 shows one report as stored in the archive, abridged: the structured fields the pipeline uses and the free-text summary that the classifier reads. The example is a real construction report whose summary contains the one-half sign. Text is quoted in fragments of at most 15 words, and "..." marks omitted text.</w:t>
      </w:r>
    </w:p>
    <w:p>
      <w:pPr>
        <w:keepNext/>
        <w:spacing w:after="80" w:before="160"/>
      </w:pPr>
      <w:r>
        <w:rPr>
          <w:rFonts w:ascii="Times New Roman" w:cs="Times New Roman" w:eastAsia="Times New Roman" w:hAnsi="Times New Roman"/>
          <w:b/>
          <w:bCs/>
          <w:sz w:val="20"/>
          <w:szCs w:val="20"/>
        </w:rPr>
        <w:t>Table 1: Example DDR as stored in the archive (abridged)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Field</w:t>
            </w:r>
          </w:p>
        </w:tc>
        <w:tc>
          <w:tcPr>
            <w:tcW w:type="dxa" w:w="4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Value</w:t>
            </w:r>
          </w:p>
        </w:tc>
        <w:tc>
          <w:tcPr>
            <w:tcW w:type="dxa" w:w="3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Meaning</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wellbore</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wellbore the report belongs to</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date_report</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2007-12-21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day the report covers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1,415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measured depth reached, along the hole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dTimSpud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date in the report header, the same in every report of the wellbore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md_kickoff</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absent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kick-off depth field: empty in this report, and populated in only 14.10% of all reports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md_csg_last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220.8</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of the last casing shoe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forecast24hr</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Complete handling of 17½" BHA. Rig up for running 13 3/8" casing ...</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plan for the next 24 hours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sum24Hr (abridged)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Drilled 17 1/2" section from 1101 m to 1415 m MD. Circulated well clean. ... POOH with 17½" BHA. Had tight spot at 1123 m, rotated through. ... Tight spots at 796, 775, 519 and 481m, pulled through with 10-15 MT overpull.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free-text summary of the past 24 hours: the text the classifier reads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Phase assigned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 (priority 3)</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classifier's result: the 17 1/2 in. section matches the Intermediate drilling patterns, in either spelling of the size</w:t>
            </w:r>
          </w:p>
        </w:tc>
      </w:tr>
    </w:tbl>
    <w:p>
      <w:pPr>
        <w:spacing w:after="160"/>
      </w:pPr>
      <w:r>
        <w:rPr>
          <w:rFonts w:ascii="Times New Roman" w:cs="Times New Roman" w:eastAsia="Times New Roman" w:hAnsi="Times New Roman"/>
          <w:i/>
          <w:iCs/>
          <w:sz w:val="18"/>
          <w:szCs w:val="18"/>
        </w:rPr>
        <w:t>The summary has 49 words, of which 40 are shown. Source file 15_9_F_5_2007_12_21.xml.</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Norwegian wellbore names follow guidelines issued by the national regulator (NOD 2025).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fraction characters such as ½ and ¼, routine in the mixed units of drilling reports, are stored as single special characters that a pattern written as "1/2" does not match, so they are converted first.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Table 2 lists the 13 phases in priority order with representative triggers taken from the pattern table of the repository (outputs/stage4_priority_rules.csv). Sizes are matched in the spellings found in the reports, for example 17 1/2 or 17.5; words are matched without regard to case; each phase has further patterns that are not shown.</w:t>
      </w:r>
    </w:p>
    <w:p>
      <w:pPr>
        <w:keepNext/>
        <w:spacing w:after="80" w:before="160"/>
      </w:pPr>
      <w:r>
        <w:rPr>
          <w:rFonts w:ascii="Times New Roman" w:cs="Times New Roman" w:eastAsia="Times New Roman" w:hAnsi="Times New Roman"/>
          <w:b/>
          <w:bCs/>
          <w:sz w:val="20"/>
          <w:szCs w:val="20"/>
        </w:rPr>
        <w:t>Table 2: Phases in priority order with representative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100"/>
        <w:gridCol w:w="4060"/>
      </w:tblGrid>
      <w:tr>
        <w:trPr>
          <w:cantSplit/>
          <w:tblHeader/>
        </w:trPr>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Priority</w:t>
            </w:r>
          </w:p>
        </w:tc>
        <w:tc>
          <w:tcPr>
            <w:tcW w:type="dxa" w:w="24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Hole and casing sizes (in.)</w:t>
            </w:r>
          </w:p>
        </w:tc>
        <w:tc>
          <w:tcPr>
            <w:tcW w:type="dxa" w:w="40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Example trigger words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Spud/Conductor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36, 30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tagged sea bt</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Surface hole and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26, 20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17 1/2</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 3/8, 10 3/4, 14</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12¼ in. and smaller hole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 1/4, 8 1/2, 6</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cut core, coring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Liner/Casing run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 5/8, 7</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 surface tieback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 cemented, cementing, bumped plug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 production packer, packer, tubing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P&amp;A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EZSV, EVO plug, P&amp;A, abandon</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Logging/Testing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 LWD, MWD, VSP</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 coiled tubing, sidetrack, whipstock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Waiting/Downtime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WOW, waiting on weather, rig maintenance, general maintenance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Rig move/Setup</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skidded rig, positioned rig, mooring, ballast</w:t>
            </w:r>
          </w:p>
        </w:tc>
      </w:tr>
    </w:tbl>
    <w:p>
      <w:pPr>
        <w:spacing w:after="160"/>
      </w:pPr>
      <w:r>
        <w:rPr>
          <w:rFonts w:ascii="Times New Roman" w:cs="Times New Roman" w:eastAsia="Times New Roman" w:hAnsi="Times New Roman"/>
          <w:i/>
          <w:iCs/>
          <w:sz w:val="18"/>
          <w:szCs w:val="18"/>
        </w:rPr>
        <w:t>A report is assigned to the highest-priority phase with a match; a report that matches no pattern is Unclassified.</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The audit estimates how many unclassified DDRs describe construction operations the pattern set failed to catch. First, a leak check reapplied the complete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The unclassified reports were split into two strata, an early construction group (reports within 730 days of the wellbore's first report, 296 records) and a later production group (reports more than 730 days after it, 87 records; 296 + 87 = 383), and a random sample was drawn from each in proportion to its size: 39 construction-group and 11 production-group records (39 + 11 = 50). The random draw is recorded in the repository so the same sample can be drawn again; the rerun of the analysis from the raw files kept this sample and its groups, after confirming that each of the 50 records maps to exactly one DDR file. The author read each sampled report and labelled it construction if it described work that builds the well: drilling ahead, coring, running or cementing casing, setting plugs, fishing, or completion. Reports that only described handling the BOP or riser, tripping, waiting or production were labelled non-construction, unless they also named a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 All comparisons are against the current register as accessed in October 2026.</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A population survey of ten WITSML-derived columns was conducted across all 1,759 DDRs (Table 3).</w:t>
      </w:r>
    </w:p>
    <w:p>
      <w:pPr>
        <w:keepNext/>
        <w:spacing w:after="80" w:before="160"/>
      </w:pPr>
      <w:r>
        <w:rPr>
          <w:rFonts w:ascii="Times New Roman" w:cs="Times New Roman" w:eastAsia="Times New Roman" w:hAnsi="Times New Roman"/>
          <w:b/>
          <w:bCs/>
          <w:sz w:val="20"/>
          <w:szCs w:val="20"/>
        </w:rPr>
        <w:t>Table 3: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fraction character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earlier table held 'due to double 3 Â½" DP' where the raw file reads 'due to double 3 ½" DP'),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the classifier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4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Table 4: Phase distribution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Of the 50 sampled records, 26 (52%) were labelled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26 of the 50 sampled reports (52%) were construction work. Scaled to the 383-report frame this is about 199 reports, so a complete pattern set would classify about 85.4% of the 1,759 reports (95% confidence interval 82.5 to 88.3%). The arithmetic, including the stratum-weighted check, is in Appendix B.</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8; only reports with a valid depth are plotted. The days_from_first_ddr column of the dataset is unchanged from the earlier analysis.</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Maximum reconstructed measured depth per wellbore was compared with NOD's total depth for all 26 wellbores (Table 5, Fig. 3).</w:t>
      </w:r>
    </w:p>
    <w:p>
      <w:pPr>
        <w:keepNext/>
        <w:spacing w:after="80" w:before="160"/>
      </w:pPr>
      <w:r>
        <w:rPr>
          <w:rFonts w:ascii="Times New Roman" w:cs="Times New Roman" w:eastAsia="Times New Roman" w:hAnsi="Times New Roman"/>
          <w:b/>
          <w:bCs/>
          <w:sz w:val="20"/>
          <w:szCs w:val="20"/>
        </w:rPr>
        <w:t>Table 5: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5 uses the structured field, consistent with every other wellbore. The 227 m gap is a records-coverage gap: the archive does not contain reports for this wellbore's final drilling and suspension. The archive's reports for this wellbore are incomplete throughout, with 39 reports over 91 days (Table 8), and the cause cannot be determined from the records.</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6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6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Table 6: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Kick-off here means the depth at which a sidetrack departs its parent wellbore, not the depth at which an original wellbore begins to build angle; the structured kick-off field of 15/9-19 S (562 m in all its reports) is consistent with the latter and is not used.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7).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1,364 m. The depth of 3,059 m that the narratives report on 13 March 2014 is the start of the 8 1/2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7: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8 gives, for each wellbore, the first report (the 1980 date sentinel excluded), the date total depth was first reached (the maximum valid depth of Table 5), the elapsed calendar days from the first report to that date, the number of reports in that span (inclusive), the drilled length (total depth minus the kick-off depth of Table 7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8: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7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8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labelled construction content only. Unclassified records describing operations that belong to non-construction phases in the classifier (for example waiting or rig moves) were labelled NON_CONSTRUCTION, so the attainable rate is conservative with respect to those phases. The sample of 50 was labelled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labelled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8).</w:t>
      </w:r>
    </w:p>
    <w:p>
      <w:pPr>
        <w:spacing w:after="120" w:line="264"/>
        <w:jc w:val="both"/>
      </w:pPr>
      <w:r>
        <w:rPr>
          <w:rFonts w:ascii="Times New Roman" w:cs="Times New Roman" w:eastAsia="Times New Roman" w:hAnsi="Times New Roman"/>
          <w:sz w:val="20"/>
          <w:szCs w:val="20"/>
        </w:rPr>
        <w:t>No isolated ablation was run for the effect of Unicode normalisation on the classification rate. The survey confirms 61 DDRs contain ½ and 10 contain ¼, and the normalisation handles both, but its effect was not separated from other refinements of the pattern set.</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labeller,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labels,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The classifier, the extraction and analysis code, the 1,421-row timeline dataset, the audit labels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Comparisons with the author's earlier extraction are reported but are not needed to reproduce any figure.</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2025. Guidelines for Designation of Wells and Wellbores (revision of 28 March 2025).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8)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(239 entries, each with the producing script and function, the SHA-256 of its input files and an execution timestamp). The audit estimates in Section 5.2 are derived arithmetically from registry entries, and the arithmetic is shown in Appendix B.</w:t>
      </w:r>
    </w:p>
    <w:p>
      <w:pPr>
        <w:pStyle w:val="Heading1"/>
        <w:keepNext/>
        <w:spacing w:after="120" w:before="240"/>
      </w:pPr>
      <w:r>
        <w:rPr>
          <w:rFonts w:ascii="Times New Roman" w:cs="Times New Roman" w:eastAsia="Times New Roman" w:hAnsi="Times New Roman"/>
          <w:b/>
          <w:bCs/>
          <w:sz w:val="22"/>
          <w:szCs w:val="22"/>
        </w:rPr>
        <w:t>Appendix B: Audit Arithmetic</w:t>
      </w:r>
    </w:p>
    <w:p>
      <w:pPr>
        <w:spacing w:after="120" w:line="264"/>
        <w:jc w:val="both"/>
      </w:pPr>
      <w:r>
        <w:rPr>
          <w:rFonts w:ascii="Times New Roman" w:cs="Times New Roman" w:eastAsia="Times New Roman" w:hAnsi="Times New Roman"/>
          <w:sz w:val="20"/>
          <w:szCs w:val="20"/>
        </w:rPr>
        <w:t>This appendix gives the arithmetic behind the attainable classification rate of Section 5.2.</w:t>
      </w:r>
    </w:p>
    <w:p>
      <w:pPr>
        <w:spacing w:after="120" w:line="264"/>
        <w:jc w:val="both"/>
      </w:pPr>
      <w:r>
        <w:rPr>
          <w:rFonts w:ascii="Times New Roman" w:cs="Times New Roman" w:eastAsia="Times New Roman" w:hAnsi="Times New Roman"/>
          <w:sz w:val="20"/>
          <w:szCs w:val="20"/>
        </w:rPr>
        <w:t>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