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spacing w:after="240"/>
        <w:jc w:val="center"/>
      </w:pPr>
      <w:r>
        <w:rPr>
          <w:rFonts w:ascii="Times New Roman" w:cs="Times New Roman" w:eastAsia="Times New Roman" w:hAnsi="Times New Roman"/>
          <w:b/>
          <w:bCs/>
          <w:sz w:val="20"/>
          <w:szCs w:val="20"/>
          <w:highlight w:val="yellow"/>
        </w:rPr>
        <w:t>[TJ: DRAFT built from the numbers registry on 24 October 2026. Yellow highlighting marks PROVISIONAL values derived from the AI-proposed kick-off depths; they are not final until the author columns of outputs/kickoff_signoff.xlsx are filled.]</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wellbore-identity conflation.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 xml:space="preserve">Sidetrack kick-off depths were recovered for all 15 sidetracks by one rule, and the four wellbores of the 15/9-F-1 family share their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The output is an open depth-time-phase dataset of 1,421 records, with per-wellbore durations to total depth, published with the classifier code. It supports days-versus-depth benchmarking and records-based screening of legacy wellbores, and the method transfers to other WITSML 1.4.0.0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casing, Intermediate drilling, Intermediate casing, Reservoir drilling,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casing), 17½ in. hole (Intermediate drilling), 13⅜, 10¾ and 14 in. casing (Intermediate casing), 12¼, 8½ and 6 in. hole and coring (Reservoir drilling), and 9⅝ and 7 in. liner or casing (Liner/Casing run); the remaining phases are matched on keywords alone.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 xml:space="preserve">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w:t>
      </w:r>
      <w:r>
        <w:rPr>
          <w:rFonts w:ascii="Times New Roman" w:cs="Times New Roman" w:eastAsia="Times New Roman" w:hAnsi="Times New Roman"/>
          <w:sz w:val="20"/>
          <w:szCs w:val="20"/>
          <w:highlight w:val="yellow"/>
        </w:rPr>
        <w:t>2,911 m</w:t>
      </w:r>
      <w:r>
        <w:rPr>
          <w:rFonts w:ascii="Times New Roman" w:cs="Times New Roman" w:eastAsia="Times New Roman" w:hAnsi="Times New Roman"/>
          <w:sz w:val="20"/>
          <w:szCs w:val="20"/>
        </w:rPr>
        <w:t xml:space="preserve"> under the identity 15/9-19 BT2, whose first report reads "REPORTING TRANSFERRED FROM 15/9-19B". 15/9-19 S shows the same sequence: stuck pipe at approximately 2,741 m, a backed-off and cut string, sidetrack language in the narrative ("MU BHA FOR SIDE TRACK"), and new hole from approximately </w:t>
      </w:r>
      <w:r>
        <w:rPr>
          <w:rFonts w:ascii="Times New Roman" w:cs="Times New Roman" w:eastAsia="Times New Roman" w:hAnsi="Times New Roman"/>
          <w:sz w:val="20"/>
          <w:szCs w:val="20"/>
          <w:highlight w:val="yellow"/>
        </w:rPr>
        <w:t>1,536 m</w:t>
      </w:r>
      <w:r>
        <w:rPr>
          <w:rFonts w:ascii="Times New Roman" w:cs="Times New Roman" w:eastAsia="Times New Roman" w:hAnsi="Times New Roman"/>
          <w:sz w:val="20"/>
          <w:szCs w:val="20"/>
        </w:rPr>
        <w:t xml:space="preserve">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Reservoir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Surface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days from the first report with recorded depth against measured depth for all 26 wellbores.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(WITSML spud date minus the NOD pre-drill entry date where NOD records one, since it marks the start of top-hole drilling, and otherwise the NOD main entry date) by category. The categories were first assigned by inspection of the three sources for each wellbore; the rules below were formalised afterwards to describe those assignments. For the four other wellbores with NOD pre-drill dates (15/9-F-4, F-5, F-14 and F-15), the first report in the archive coincides with the pre-drill entry date (the same day, or one day later for F-4), which supports using the pre-drill date as the spud reference.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 Exact: the WITSML date is within one day of the NOD date, and the first report or free-text spud follows it by at most one day. Definitional offset: the WITSML date is within 8 days of the NOD date and the free-text operational start follows it by 2 to 20 days. WITSML data-entry error: the WITSML date differs from the first report or free-text spud by more than 30 days while the NOD date agrees with them within 3 days. Wellbore-identity conflation: the WITSML date is within 7 days of the first report but more than a year from the NOD date. Inherited: the sidetrack carries its parent's spud date. Two technical sidetracks share a NOD record with their parent leg by the depth matching of Section 3.5 (15/9-19 BT2 with 19 B); the sidetrack is left unresolved and the parent leg is classed as a definitional offset when it has no free-text spud date of its own. Everything else is unresolved.</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486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4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 agreement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6</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15/9-19 A, F-10, F-15 A, F-15 B, F-15 C, F-15 D</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Definitional offset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Administrative spud precedes operational start by days to weeks (15/9-19 B, F-1 A, F-1 B, F-1 C, F-5, F-9 A, F-11 B, F-14)</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WITSML data-entry error</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 F-7, F-12, F-15</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Wellbore-identity conflation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Inherited parent spud date</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 F-11 T2</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Unresolved</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5</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blHeader w:val="off"/>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26</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reports of F-1 fall into two campaigns: four reports in December 2007 with a maximum depth of 226 m, and the 2013 reports, in which the well was drilled to its total depth of 3,632 m. NOD, however, records an entry date of 23 July 2013, nearly six years later and about four weeks before the WITSML spud date (20 August 2013) and NOD entry date (23 August 2013) of 15/9-F-1 A, the sidetrack drilled from the same slot. NOD's 15/9-F-1 record most plausibly reflects the 2013 re-entry ahead of the sidetrack campaign, not the 2007 spud. The case is therefore classified as a wellbore-identity conflation: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 xml:space="preserve">All 15 sidetracks by designation (15/9-19 A, 19 B, 19 BT2 and 19 ST2, F-1 A, F-1 B and F-1 C, F-9 A, F-11 A, F-11 B and F-11 T2, and F-15 A to F-15 D) yielded a kick-off depth (Table 5). For </w:t>
      </w:r>
      <w:r>
        <w:rPr>
          <w:rFonts w:ascii="Times New Roman" w:cs="Times New Roman" w:eastAsia="Times New Roman" w:hAnsi="Times New Roman"/>
          <w:sz w:val="20"/>
          <w:szCs w:val="20"/>
          <w:highlight w:val="yellow"/>
        </w:rPr>
        <w:t>11</w:t>
      </w:r>
      <w:r>
        <w:rPr>
          <w:rFonts w:ascii="Times New Roman" w:cs="Times New Roman" w:eastAsia="Times New Roman" w:hAnsi="Times New Roman"/>
          <w:sz w:val="20"/>
          <w:szCs w:val="20"/>
        </w:rPr>
        <w:t xml:space="preserve"> the depth is written in the narrative;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(15/9-F-1 A, F-1 B and F-15 D) the narrative names the kick-off event but not the depth, which is taken from the measured depth of the same report; for </w:t>
      </w:r>
      <w:r>
        <w:rPr>
          <w:rFonts w:ascii="Times New Roman" w:cs="Times New Roman" w:eastAsia="Times New Roman" w:hAnsi="Times New Roman"/>
          <w:sz w:val="20"/>
          <w:szCs w:val="20"/>
          <w:highlight w:val="yellow"/>
        </w:rPr>
        <w:t>1</w:t>
      </w:r>
      <w:r>
        <w:rPr>
          <w:rFonts w:ascii="Times New Roman" w:cs="Times New Roman" w:eastAsia="Times New Roman" w:hAnsi="Times New Roman"/>
          <w:sz w:val="20"/>
          <w:szCs w:val="20"/>
        </w:rPr>
        <w:t xml:space="preserve">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The depth of </w:t>
      </w:r>
      <w:r>
        <w:rPr>
          <w:rFonts w:ascii="Times New Roman" w:cs="Times New Roman" w:eastAsia="Times New Roman" w:hAnsi="Times New Roman"/>
          <w:sz w:val="20"/>
          <w:szCs w:val="20"/>
          <w:highlight w:val="yellow"/>
        </w:rPr>
        <w:t>3,059 m</w:t>
      </w:r>
      <w:r>
        <w:rPr>
          <w:rFonts w:ascii="Times New Roman" w:cs="Times New Roman" w:eastAsia="Times New Roman" w:hAnsi="Times New Roman"/>
          <w:sz w:val="20"/>
          <w:szCs w:val="20"/>
        </w:rPr>
        <w:t xml:space="preserve"> that the narratives report on 13 March 2014 is the start of the 8 1/2 in. section, after casing was run, not the kick-off. 15/9-19 A is a sidetrack whose kick-off is the top of a milled window at </w:t>
      </w:r>
      <w:r>
        <w:rPr>
          <w:rFonts w:ascii="Times New Roman" w:cs="Times New Roman" w:eastAsia="Times New Roman" w:hAnsi="Times New Roman"/>
          <w:sz w:val="20"/>
          <w:szCs w:val="20"/>
          <w:highlight w:val="yellow"/>
        </w:rPr>
        <w:t>2,178 m</w:t>
      </w:r>
      <w:r>
        <w:rPr>
          <w:rFonts w:ascii="Times New Roman" w:cs="Times New Roman" w:eastAsia="Times New Roman" w:hAnsi="Times New Roman"/>
          <w:sz w:val="20"/>
          <w:szCs w:val="20"/>
        </w:rPr>
        <w:t xml:space="preserve">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 in WITSML</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highlight w:val="yellow"/>
        </w:rPr>
        <w:t>[TJ: DRAFT. Values highlighted in yellow are PROVISIONAL: the kick-off depths were proposed by an AI tool from the narratives and are pending author verification (outputs/kickoff_signoff.xlsx). Remove this note and the highlighting once the author columns are filled.]</w:t>
      </w:r>
      <w:r>
        <w:rPr>
          <w:rFonts w:ascii="Times New Roman" w:cs="Times New Roman" w:eastAsia="Times New Roman" w:hAnsi="Times New Roman"/>
          <w:i/>
          <w:iCs/>
          <w:sz w:val="18"/>
          <w:szCs w:val="18"/>
        </w:rPr>
        <w:t xml:space="preserve"> Depths are m MD. NOD minus DDR is NOD's wlbKickOffPoint minus the recovered depth; blank where NOD has no value.</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 xml:space="preserve">NOD's wlbKickOffPoint is available for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the 15 sidetracks. It equals the recovered depth for </w:t>
      </w:r>
      <w:r>
        <w:rPr>
          <w:rFonts w:ascii="Times New Roman" w:cs="Times New Roman" w:eastAsia="Times New Roman" w:hAnsi="Times New Roman"/>
          <w:sz w:val="20"/>
          <w:szCs w:val="20"/>
          <w:highlight w:val="yellow"/>
        </w:rPr>
        <w:t>6</w:t>
      </w:r>
      <w:r>
        <w:rPr>
          <w:rFonts w:ascii="Times New Roman" w:cs="Times New Roman" w:eastAsia="Times New Roman" w:hAnsi="Times New Roman"/>
          <w:sz w:val="20"/>
          <w:szCs w:val="20"/>
        </w:rPr>
        <w:t xml:space="preserve"> (15/9-19 A, F-1 A, F-1 C, F-15 A, F-15 B and F-15 D), differs by 10 m or less for </w:t>
      </w:r>
      <w:r>
        <w:rPr>
          <w:rFonts w:ascii="Times New Roman" w:cs="Times New Roman" w:eastAsia="Times New Roman" w:hAnsi="Times New Roman"/>
          <w:sz w:val="20"/>
          <w:szCs w:val="20"/>
          <w:highlight w:val="yellow"/>
        </w:rPr>
        <w:t>4</w:t>
      </w:r>
      <w:r>
        <w:rPr>
          <w:rFonts w:ascii="Times New Roman" w:cs="Times New Roman" w:eastAsia="Times New Roman" w:hAnsi="Times New Roman"/>
          <w:sz w:val="20"/>
          <w:szCs w:val="20"/>
        </w:rPr>
        <w:t xml:space="preserve"> (15/9-F-9 A, F-11 A, F-11 B and F-15 C), and by more for </w:t>
      </w:r>
      <w:r>
        <w:rPr>
          <w:rFonts w:ascii="Times New Roman" w:cs="Times New Roman" w:eastAsia="Times New Roman" w:hAnsi="Times New Roman"/>
          <w:sz w:val="20"/>
          <w:szCs w:val="20"/>
          <w:highlight w:val="yellow"/>
        </w:rPr>
        <w:t>2</w:t>
      </w:r>
      <w:r>
        <w:rPr>
          <w:rFonts w:ascii="Times New Roman" w:cs="Times New Roman" w:eastAsia="Times New Roman" w:hAnsi="Times New Roman"/>
          <w:sz w:val="20"/>
          <w:szCs w:val="20"/>
        </w:rPr>
        <w:t xml:space="preserve"> (15/9-19 B, 31 m; 15/9-F-1 B, 13 m). NOD has no kick-off value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(15/9-19 BT2, 19 ST2 and F-11 T2). The least certain depths are 15/9-19 ST2, which rests on the measured depth alone, and 15/9-F-11 B, where the narrative reports cement and new formation drilled from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168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(values highlighted in yellow are provisional) and total depth for original wellbores.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Days-versus-depth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 xml:space="preserve">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any WITSML 1.4.0.0 archive.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 xml:space="preserve">Two records were assigned to a stratum that does not reflect their operational context, although both were adjudicated correctly on content. The 1980 date sentinel for 15/9-19 A places that wellbore's 1997 drilling in the production-era stratum, and 15/9-F-1's 2013 re-entry reports ahead of the F-1 A sidetrack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NOD gives no kick-off point for three sidetracks. All four wellbores of the 15/9-F-1 family (F-1, F-1 A, F-1 B and F-1 C)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and F-1, F-1 A and F-1 B share it above approximately </w:t>
      </w:r>
      <w:r>
        <w:rPr>
          <w:rFonts w:ascii="Times New Roman" w:cs="Times New Roman" w:eastAsia="Times New Roman" w:hAnsi="Times New Roman"/>
          <w:sz w:val="20"/>
          <w:szCs w:val="20"/>
          <w:highlight w:val="yellow"/>
        </w:rPr>
        <w:t>2,617 to 2,620 m</w:t>
      </w:r>
      <w:r>
        <w:rPr>
          <w:rFonts w:ascii="Times New Roman" w:cs="Times New Roman" w:eastAsia="Times New Roman" w:hAnsi="Times New Roman"/>
          <w:sz w:val="20"/>
          <w:szCs w:val="20"/>
        </w:rPr>
        <w:t xml:space="preserve">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 xml:space="preserve">The structured spud date should not be used without checking it against the first DDR: four wellbores carry data-entry errors, two sidetracks carry inherited values, and one apparent error is a wellbore-identity conflation in the register.</w:t>
      </w:r>
    </w:p>
    <w:p>
      <w:pPr>
        <w:pStyle w:val="ListParagraph"/>
        <w:numPr>
          <w:ilvl w:val="0"/>
          <w:numId w:val="3"/>
        </w:numPr>
        <w:spacing w:after="80"/>
      </w:pPr>
      <w:r>
        <w:rPr>
          <w:rFonts w:ascii="Times New Roman" w:cs="Times New Roman" w:eastAsia="Times New Roman" w:hAnsi="Times New Roman"/>
          <w:sz w:val="20"/>
          <w:szCs w:val="20"/>
        </w:rPr>
        <w:t xml:space="preserve">Sidetrack kick-off depths were recovered for all 15 sidetracks by one rule; for 15/9-F-1 C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 xml:space="preserve">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and </w:t>
      </w:r>
      <w:r>
        <w:rPr>
          <w:rFonts w:ascii="Times New Roman" w:cs="Times New Roman" w:eastAsia="Times New Roman" w:hAnsi="Times New Roman"/>
          <w:sz w:val="20"/>
          <w:szCs w:val="20"/>
          <w:highlight w:val="yellow"/>
        </w:rPr>
        <w:t>verified by the author</w:t>
      </w:r>
      <w:r>
        <w:rPr>
          <w:rFonts w:ascii="Times New Roman" w:cs="Times New Roman" w:eastAsia="Times New Roman" w:hAnsi="Times New Roman"/>
          <w:sz w:val="20"/>
          <w:szCs w:val="20"/>
        </w:rPr>
        <w:t>.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spacing w:after="120" w:line="264"/>
        <w:jc w:val="center"/>
      </w:pPr>
      <w:r>
        <w:drawing>
          <wp:inline xmlns:a="http://schemas.openxmlformats.org/drawingml/2006/main" xmlns:pic="http://schemas.openxmlformats.org/drawingml/2006/picture">
            <wp:extent cx="5943600" cy="1722024"/>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722024"/>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spacing w:after="120" w:line="264"/>
        <w:jc w:val="center"/>
      </w:pPr>
      <w:r>
        <w:drawing>
          <wp:inline xmlns:a="http://schemas.openxmlformats.org/drawingml/2006/main" xmlns:pic="http://schemas.openxmlformats.org/drawingml/2006/picture">
            <wp:extent cx="5486400" cy="3454586"/>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54586"/>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2: Days from first report with recorded depth versus measured depth for all 26 wellbores, coloured by hole section (other phases and unclassified reports in grey).</w:t>
      </w:r>
    </w:p>
    <w:p>
      <w:pPr>
        <w:spacing w:after="120" w:line="264"/>
        <w:jc w:val="center"/>
      </w:pPr>
      <w:r>
        <w:drawing>
          <wp:inline xmlns:a="http://schemas.openxmlformats.org/drawingml/2006/main" xmlns:pic="http://schemas.openxmlformats.org/drawingml/2006/picture">
            <wp:extent cx="4754880" cy="4832711"/>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832711"/>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 xml:space="preserve">Fig. 3: Reconstructed WITSML maximum MD versus NOD total depth for the 24 matched wellbores, with 1:1 reference line.</w:t>
      </w:r>
    </w:p>
    <w:p>
      <w:pPr>
        <w:spacing w:after="120" w:line="264"/>
        <w:jc w:val="center"/>
      </w:pPr>
      <w:r>
        <w:drawing>
          <wp:inline xmlns:a="http://schemas.openxmlformats.org/drawingml/2006/main" xmlns:pic="http://schemas.openxmlformats.org/drawingml/2006/picture">
            <wp:extent cx="4937760" cy="4458512"/>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58512"/>
                    </a:xfrm>
                    <a:prstGeom prst="rect"/>
                  </pic:spPr>
                </pic:pic>
              </a:graphicData>
            </a:graphic>
          </wp:inline>
        </w:drawing>
      </w:r>
    </w:p>
    <w:p>
      <w:pPr>
        <w:keepNext/>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(227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