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 relatively small array, with a size of eight for example, would easily fall below half full following a short series of deletions. After only a few insertions, it would need to be expanded again, and a few deletions would have it reduced again.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The underflow could require that the array: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 considerable size, such as 1,000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highly under populated, say, only 10% full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Decreases with room to spare, for example, leaves array at half full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Alternatively, the underflow method could be called only when the process using the array is finished with a series of operations, or wants to clean up or free memory.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makeList method is O(N^2) because trimToSize() is O(N). Since trimToSize() is inside makeList()'s O(N) loop, the result is O(N^2).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The first call passes 50 into the fibonnaci method. It calls fibonnaci again with N-1 and N-2, and since N-1 would decrement slower, we follow that route. The second call passes in 49, third is 48, and on the 50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call, the number passed in is 1, which returns 1, instead of continuing the recursion. Therefore, 50 will be the most calls stored in the stack.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No, since the stack can have more than a hundred calls. This was also confirmed with a test run, which didn’t encounter errors.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No, since fib() has an exponential Big-O, it would take a long time to complete. This was confirmed in the test for part B.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It’s saved so the loop knows how many elements to remove.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O(N^2) because remove() for an ArrayList is O(N), and the loop in removeFirstHalf() executes remove() N/2 times, resulting in O(N^2)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O(N) because remove() on the first element in a LinkedList is constant time, and removeFirstHalf()’s loop executes remove() N/2 times.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No, since its operation would not be too different from the provided loop.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Converted to postfix:</w:t>
      </w:r>
    </w:p>
    <w:tbl>
      <w:tblPr>
        <w:tblW w:w="103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155"/>
        <w:gridCol w:w="5155"/>
      </w:tblGrid>
      <w:tr>
        <w:trPr>
          <w:cantSplit w:val="false"/>
        </w:trPr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Stack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Output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 -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 -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600 203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600 203 -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(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600 203 -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/>
              </w:rPr>
              <w:t xml:space="preserve">( 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600 203 - 143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/>
              </w:rPr>
              <w:t>( +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/>
              </w:rPr>
              <w:t>( +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600 203 – 143 21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</w:rPr>
              <w:t>(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</w:rPr>
              <w:t>(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  <w:r>
              <w:rPr>
                <w:rFonts w:ascii="Times New Roman" w:hAnsi="Times New Roman"/>
              </w:rPr>
              <w:t xml:space="preserve">87 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</w:rPr>
              <w:t>( +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  <w:r>
              <w:rPr>
                <w:rFonts w:ascii="Times New Roman" w:hAnsi="Times New Roman"/>
              </w:rPr>
              <w:t>87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</w:rPr>
              <w:t>( +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  <w:r>
              <w:rPr>
                <w:rFonts w:ascii="Times New Roman" w:hAnsi="Times New Roman"/>
              </w:rPr>
              <w:t>87 17</w:t>
            </w:r>
          </w:p>
        </w:tc>
      </w:tr>
      <w:tr>
        <w:trPr>
          <w:cantSplit w:val="false"/>
        </w:trPr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/ </w:t>
            </w:r>
          </w:p>
        </w:tc>
        <w:tc>
          <w:tcPr>
            <w:tcW w:w="51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600 203 – 143 21 + * </w:t>
            </w:r>
            <w:r>
              <w:rPr>
                <w:rFonts w:ascii="Times New Roman" w:hAnsi="Times New Roman"/>
              </w:rPr>
              <w:t>87 17 + /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DejaVu Sans"/>
      <w:color w:val="auto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2015-03-02T18:55:00Z</dcterms:created>
  <dc:creator>Rayting </dc:creator>
  <dc:language>en-US</dc:language>
  <cp:lastModifiedBy>HWu</cp:lastModifiedBy>
  <dcterms:modified xsi:type="dcterms:W3CDTF">2015-03-04T09:31:00Z</dcterms:modified>
  <cp:revision>3</cp:revision>
  <dc:title>Microsoft Office 2010 Default</dc:title>
</cp:coreProperties>
</file>