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B25DDB" w14:textId="77777777" w:rsidR="001D6C82" w:rsidRPr="001D6C82" w:rsidRDefault="001D6C82" w:rsidP="001D6C82">
      <w:pPr>
        <w:autoSpaceDE w:val="0"/>
        <w:autoSpaceDN w:val="0"/>
        <w:adjustRightInd w:val="0"/>
        <w:spacing w:after="0" w:line="240" w:lineRule="auto"/>
        <w:rPr>
          <w:rFonts w:cstheme="minorHAnsi"/>
          <w:b/>
          <w:bCs/>
          <w:sz w:val="24"/>
          <w:szCs w:val="24"/>
          <w:u w:val="single"/>
        </w:rPr>
      </w:pPr>
    </w:p>
    <w:p w14:paraId="2261BD93" w14:textId="5E9D3D54" w:rsidR="001D6C82" w:rsidRPr="001D6C82" w:rsidRDefault="001D6C82" w:rsidP="006813E7">
      <w:pPr>
        <w:spacing w:before="100" w:beforeAutospacing="1" w:after="100" w:afterAutospacing="1" w:line="240" w:lineRule="auto"/>
        <w:jc w:val="center"/>
        <w:rPr>
          <w:rFonts w:ascii="Segoe UI" w:eastAsia="Times New Roman" w:hAnsi="Segoe UI" w:cs="Segoe UI"/>
          <w:sz w:val="21"/>
          <w:szCs w:val="21"/>
        </w:rPr>
      </w:pPr>
      <w:r w:rsidRPr="001D6C82">
        <w:rPr>
          <w:rFonts w:ascii="Calibri" w:eastAsia="Times New Roman" w:hAnsi="Calibri" w:cs="Calibri"/>
          <w:b/>
          <w:bCs/>
          <w:sz w:val="24"/>
          <w:szCs w:val="24"/>
          <w:u w:val="single"/>
        </w:rPr>
        <w:t>MEDDEV 2.7/1 revision 4</w:t>
      </w:r>
    </w:p>
    <w:p w14:paraId="1AB285F9" w14:textId="77777777" w:rsidR="001D6C82" w:rsidRPr="001D6C82" w:rsidRDefault="001D6C82" w:rsidP="001D6C82">
      <w:pPr>
        <w:numPr>
          <w:ilvl w:val="0"/>
          <w:numId w:val="26"/>
        </w:numPr>
        <w:spacing w:before="100" w:beforeAutospacing="1" w:after="100" w:afterAutospacing="1" w:line="240" w:lineRule="auto"/>
        <w:jc w:val="both"/>
        <w:rPr>
          <w:rFonts w:ascii="Segoe UI" w:eastAsia="Times New Roman" w:hAnsi="Segoe UI" w:cs="Segoe UI"/>
          <w:sz w:val="21"/>
          <w:szCs w:val="21"/>
        </w:rPr>
      </w:pPr>
      <w:r w:rsidRPr="001D6C82">
        <w:rPr>
          <w:rFonts w:ascii="Calibri" w:eastAsia="Times New Roman" w:hAnsi="Calibri" w:cs="Calibri"/>
          <w:sz w:val="24"/>
          <w:szCs w:val="24"/>
        </w:rPr>
        <w:t>This document promotes a common approach to clinical evaluation for medical devices regulated by directives 90/385/EEC and 93/42/EEC.</w:t>
      </w:r>
      <w:r w:rsidRPr="001D6C82">
        <w:rPr>
          <w:rFonts w:ascii="Segoe UI" w:eastAsia="Times New Roman" w:hAnsi="Segoe UI" w:cs="Segoe UI"/>
          <w:sz w:val="21"/>
          <w:szCs w:val="21"/>
        </w:rPr>
        <w:t xml:space="preserve"> </w:t>
      </w:r>
    </w:p>
    <w:p w14:paraId="4DCA6591" w14:textId="77777777" w:rsidR="001D6C82" w:rsidRPr="001D6C82" w:rsidRDefault="001D6C82" w:rsidP="001D6C82">
      <w:pPr>
        <w:numPr>
          <w:ilvl w:val="0"/>
          <w:numId w:val="26"/>
        </w:numPr>
        <w:spacing w:before="100" w:beforeAutospacing="1" w:after="100" w:afterAutospacing="1" w:line="240" w:lineRule="auto"/>
        <w:jc w:val="both"/>
        <w:rPr>
          <w:rFonts w:ascii="Segoe UI" w:eastAsia="Times New Roman" w:hAnsi="Segoe UI" w:cs="Segoe UI"/>
          <w:sz w:val="21"/>
          <w:szCs w:val="21"/>
        </w:rPr>
      </w:pPr>
      <w:r w:rsidRPr="001D6C82">
        <w:rPr>
          <w:rFonts w:ascii="Calibri" w:eastAsia="Times New Roman" w:hAnsi="Calibri" w:cs="Calibri"/>
          <w:sz w:val="24"/>
          <w:szCs w:val="24"/>
        </w:rPr>
        <w:t>It does not concern in vitro diagnostic devices.</w:t>
      </w:r>
      <w:r w:rsidRPr="001D6C82">
        <w:rPr>
          <w:rFonts w:ascii="Segoe UI" w:eastAsia="Times New Roman" w:hAnsi="Segoe UI" w:cs="Segoe UI"/>
          <w:sz w:val="21"/>
          <w:szCs w:val="21"/>
        </w:rPr>
        <w:t xml:space="preserve"> </w:t>
      </w:r>
    </w:p>
    <w:p w14:paraId="68A749C9" w14:textId="77777777" w:rsidR="001D6C82" w:rsidRPr="001D6C82" w:rsidRDefault="001D6C82" w:rsidP="001D6C82">
      <w:pPr>
        <w:spacing w:before="100" w:beforeAutospacing="1" w:after="100" w:afterAutospacing="1" w:line="240" w:lineRule="auto"/>
        <w:jc w:val="both"/>
        <w:rPr>
          <w:rFonts w:ascii="Segoe UI" w:eastAsia="Times New Roman" w:hAnsi="Segoe UI" w:cs="Segoe UI"/>
          <w:sz w:val="21"/>
          <w:szCs w:val="21"/>
        </w:rPr>
      </w:pPr>
      <w:r w:rsidRPr="001D6C82">
        <w:rPr>
          <w:rFonts w:ascii="Calibri" w:eastAsia="Times New Roman" w:hAnsi="Calibri" w:cs="Calibri"/>
          <w:b/>
          <w:bCs/>
          <w:sz w:val="24"/>
          <w:szCs w:val="24"/>
        </w:rPr>
        <w:t xml:space="preserve">Scope: </w:t>
      </w:r>
      <w:r w:rsidRPr="001D6C82">
        <w:rPr>
          <w:rFonts w:ascii="Calibri" w:eastAsia="Times New Roman" w:hAnsi="Calibri" w:cs="Calibri"/>
          <w:sz w:val="24"/>
          <w:szCs w:val="24"/>
        </w:rPr>
        <w:t xml:space="preserve">This guide is not legally binding; only the text of the Directives is authentic in law. </w:t>
      </w:r>
    </w:p>
    <w:p w14:paraId="5C4FEE33" w14:textId="77777777" w:rsidR="006813E7" w:rsidRDefault="001D6C82" w:rsidP="006813E7">
      <w:pPr>
        <w:spacing w:before="100" w:beforeAutospacing="1" w:after="100" w:afterAutospacing="1" w:line="240" w:lineRule="auto"/>
        <w:jc w:val="both"/>
        <w:rPr>
          <w:rFonts w:ascii="Calibri" w:eastAsia="Times New Roman" w:hAnsi="Calibri" w:cs="Calibri"/>
          <w:sz w:val="24"/>
          <w:szCs w:val="24"/>
        </w:rPr>
      </w:pPr>
      <w:r w:rsidRPr="001D6C82">
        <w:rPr>
          <w:rFonts w:ascii="Calibri" w:eastAsia="Times New Roman" w:hAnsi="Calibri" w:cs="Calibri"/>
          <w:sz w:val="24"/>
          <w:szCs w:val="24"/>
        </w:rPr>
        <w:t>Due to the participation of interested parties and of experts from national Competent Authorities, it is anticipated that this guide will be followed within the Member States, thereby supporting uniform application of relevant provisions of EU Directives and common practices.</w:t>
      </w:r>
    </w:p>
    <w:p w14:paraId="7DE9D377" w14:textId="082A5D74" w:rsidR="006813E7" w:rsidRPr="006813E7" w:rsidRDefault="006813E7" w:rsidP="006813E7">
      <w:pPr>
        <w:spacing w:before="100" w:beforeAutospacing="1" w:after="100" w:afterAutospacing="1" w:line="240" w:lineRule="auto"/>
        <w:jc w:val="both"/>
        <w:rPr>
          <w:rFonts w:eastAsia="Times New Roman" w:cstheme="minorHAnsi"/>
          <w:sz w:val="28"/>
          <w:szCs w:val="28"/>
          <w:u w:val="single"/>
        </w:rPr>
      </w:pPr>
      <w:r w:rsidRPr="006813E7">
        <w:rPr>
          <w:rFonts w:cstheme="minorHAnsi"/>
          <w:b/>
          <w:bCs/>
          <w:color w:val="212529"/>
          <w:sz w:val="28"/>
          <w:szCs w:val="28"/>
          <w:u w:val="single"/>
        </w:rPr>
        <w:t>5 Stages of Compiling the Clinical Evaluation</w:t>
      </w:r>
    </w:p>
    <w:p w14:paraId="58A1BDD3" w14:textId="0E628055" w:rsidR="006813E7" w:rsidRDefault="006813E7" w:rsidP="006813E7">
      <w:pPr>
        <w:spacing w:before="100" w:beforeAutospacing="1" w:after="100" w:afterAutospacing="1" w:line="240" w:lineRule="auto"/>
        <w:jc w:val="both"/>
        <w:rPr>
          <w:rFonts w:ascii="Calibri" w:eastAsia="Times New Roman" w:hAnsi="Calibri" w:cs="Calibri"/>
          <w:sz w:val="24"/>
          <w:szCs w:val="24"/>
        </w:rPr>
      </w:pPr>
      <w:hyperlink r:id="rId7" w:tgtFrame="thePicture" w:history="1">
        <w:r>
          <w:rPr>
            <w:rFonts w:ascii="Arial" w:hAnsi="Arial" w:cs="Arial"/>
            <w:b/>
            <w:bCs/>
            <w:color w:val="0000FF"/>
            <w:sz w:val="23"/>
            <w:szCs w:val="23"/>
            <w:u w:val="single"/>
          </w:rPr>
          <w:br/>
        </w:r>
      </w:hyperlink>
    </w:p>
    <w:p w14:paraId="521798C1" w14:textId="0A1CF913" w:rsidR="006813E7" w:rsidRDefault="006813E7" w:rsidP="001D6C82">
      <w:pPr>
        <w:spacing w:before="100" w:beforeAutospacing="1" w:after="100" w:afterAutospacing="1" w:line="240" w:lineRule="auto"/>
        <w:jc w:val="both"/>
        <w:rPr>
          <w:rFonts w:ascii="Calibri" w:eastAsia="Times New Roman" w:hAnsi="Calibri" w:cs="Calibri"/>
          <w:sz w:val="24"/>
          <w:szCs w:val="24"/>
        </w:rPr>
      </w:pPr>
      <w:r w:rsidRPr="006813E7">
        <w:drawing>
          <wp:inline distT="0" distB="0" distL="0" distR="0" wp14:anchorId="148BF47E" wp14:editId="123804B5">
            <wp:extent cx="6263898" cy="36957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70065" cy="3699339"/>
                    </a:xfrm>
                    <a:prstGeom prst="rect">
                      <a:avLst/>
                    </a:prstGeom>
                  </pic:spPr>
                </pic:pic>
              </a:graphicData>
            </a:graphic>
          </wp:inline>
        </w:drawing>
      </w:r>
    </w:p>
    <w:p w14:paraId="731579EC" w14:textId="5146984E" w:rsidR="006813E7" w:rsidRDefault="006813E7" w:rsidP="001D6C82">
      <w:pPr>
        <w:spacing w:before="100" w:beforeAutospacing="1" w:after="100" w:afterAutospacing="1" w:line="240" w:lineRule="auto"/>
        <w:jc w:val="both"/>
        <w:rPr>
          <w:rFonts w:ascii="Segoe UI" w:eastAsia="Times New Roman" w:hAnsi="Segoe UI" w:cs="Segoe UI"/>
          <w:sz w:val="21"/>
          <w:szCs w:val="21"/>
        </w:rPr>
      </w:pPr>
    </w:p>
    <w:p w14:paraId="7A4B0259" w14:textId="2AA61C3A" w:rsidR="006813E7" w:rsidRDefault="006813E7" w:rsidP="001D6C82">
      <w:pPr>
        <w:spacing w:before="100" w:beforeAutospacing="1" w:after="100" w:afterAutospacing="1" w:line="240" w:lineRule="auto"/>
        <w:jc w:val="both"/>
        <w:rPr>
          <w:rFonts w:ascii="Segoe UI" w:eastAsia="Times New Roman" w:hAnsi="Segoe UI" w:cs="Segoe UI"/>
          <w:sz w:val="21"/>
          <w:szCs w:val="21"/>
        </w:rPr>
      </w:pPr>
    </w:p>
    <w:p w14:paraId="41959557" w14:textId="77777777" w:rsidR="006813E7" w:rsidRPr="001D6C82" w:rsidRDefault="006813E7" w:rsidP="001D6C82">
      <w:pPr>
        <w:spacing w:before="100" w:beforeAutospacing="1" w:after="100" w:afterAutospacing="1" w:line="240" w:lineRule="auto"/>
        <w:jc w:val="both"/>
        <w:rPr>
          <w:rFonts w:ascii="Segoe UI" w:eastAsia="Times New Roman" w:hAnsi="Segoe UI" w:cs="Segoe UI"/>
          <w:sz w:val="21"/>
          <w:szCs w:val="21"/>
        </w:rPr>
      </w:pPr>
    </w:p>
    <w:p w14:paraId="7CE910C5" w14:textId="1435492F" w:rsidR="00AC6EC6" w:rsidRPr="006813E7" w:rsidRDefault="00AC6EC6" w:rsidP="00571684">
      <w:pPr>
        <w:autoSpaceDE w:val="0"/>
        <w:autoSpaceDN w:val="0"/>
        <w:adjustRightInd w:val="0"/>
        <w:spacing w:after="0" w:line="240" w:lineRule="auto"/>
        <w:rPr>
          <w:b/>
          <w:bCs/>
          <w:sz w:val="28"/>
          <w:szCs w:val="28"/>
          <w:u w:val="single"/>
        </w:rPr>
      </w:pPr>
      <w:r w:rsidRPr="006813E7">
        <w:rPr>
          <w:b/>
          <w:bCs/>
          <w:sz w:val="28"/>
          <w:szCs w:val="28"/>
          <w:u w:val="single"/>
        </w:rPr>
        <w:t xml:space="preserve">Key changes and clarifications </w:t>
      </w:r>
    </w:p>
    <w:p w14:paraId="5B454E0A" w14:textId="77777777" w:rsidR="00AC6EC6" w:rsidRPr="00AC6EC6" w:rsidRDefault="00AC6EC6" w:rsidP="00571684">
      <w:pPr>
        <w:autoSpaceDE w:val="0"/>
        <w:autoSpaceDN w:val="0"/>
        <w:adjustRightInd w:val="0"/>
        <w:spacing w:after="0" w:line="240" w:lineRule="auto"/>
        <w:rPr>
          <w:b/>
          <w:bCs/>
          <w:sz w:val="24"/>
          <w:szCs w:val="24"/>
          <w:u w:val="single"/>
        </w:rPr>
      </w:pPr>
    </w:p>
    <w:p w14:paraId="40F9703B" w14:textId="15BB0090" w:rsidR="00AC6EC6" w:rsidRPr="006813E7" w:rsidRDefault="00AC6EC6" w:rsidP="00AC6EC6">
      <w:pPr>
        <w:pStyle w:val="ListParagraph"/>
        <w:numPr>
          <w:ilvl w:val="0"/>
          <w:numId w:val="28"/>
        </w:numPr>
        <w:autoSpaceDE w:val="0"/>
        <w:autoSpaceDN w:val="0"/>
        <w:adjustRightInd w:val="0"/>
        <w:spacing w:after="0" w:line="240" w:lineRule="auto"/>
        <w:rPr>
          <w:rFonts w:cstheme="minorHAnsi"/>
          <w:b/>
          <w:bCs/>
          <w:sz w:val="24"/>
          <w:szCs w:val="24"/>
          <w:u w:val="single"/>
        </w:rPr>
      </w:pPr>
      <w:r w:rsidRPr="006813E7">
        <w:rPr>
          <w:b/>
          <w:bCs/>
        </w:rPr>
        <w:t>Clarification: Frequency of updates to the Clinical Evaluation Report (CER)</w:t>
      </w:r>
    </w:p>
    <w:p w14:paraId="5FA93EA9" w14:textId="77777777" w:rsidR="00AC6EC6" w:rsidRDefault="00AC6EC6" w:rsidP="00AC6EC6">
      <w:pPr>
        <w:pStyle w:val="ListParagraph"/>
        <w:autoSpaceDE w:val="0"/>
        <w:autoSpaceDN w:val="0"/>
        <w:adjustRightInd w:val="0"/>
        <w:spacing w:after="0" w:line="240" w:lineRule="auto"/>
      </w:pPr>
    </w:p>
    <w:p w14:paraId="4211456E" w14:textId="693EBB1F" w:rsidR="00AC6EC6" w:rsidRDefault="00AC6EC6" w:rsidP="00AC6EC6">
      <w:pPr>
        <w:pStyle w:val="ListParagraph"/>
        <w:autoSpaceDE w:val="0"/>
        <w:autoSpaceDN w:val="0"/>
        <w:adjustRightInd w:val="0"/>
        <w:spacing w:after="0" w:line="240" w:lineRule="auto"/>
      </w:pPr>
      <w:r>
        <w:t>Clause 6.2.3 requires the CER to be updated at least annually for high risk or new devices, and every 2 to 5 years for lower risk, well-established devices. A justification for the frequency of updates will be required. For all risk classifications of devices, the CER will need to be updated whenever new information from the Post Market Surveillance (PMS) affects the evaluation or its conclusions.</w:t>
      </w:r>
    </w:p>
    <w:p w14:paraId="269D9271" w14:textId="77777777" w:rsidR="00AC6EC6" w:rsidRPr="00AC6EC6" w:rsidRDefault="00AC6EC6" w:rsidP="00AC6EC6">
      <w:pPr>
        <w:pStyle w:val="ListParagraph"/>
        <w:autoSpaceDE w:val="0"/>
        <w:autoSpaceDN w:val="0"/>
        <w:adjustRightInd w:val="0"/>
        <w:spacing w:after="0" w:line="240" w:lineRule="auto"/>
        <w:rPr>
          <w:rFonts w:cstheme="minorHAnsi"/>
          <w:b/>
          <w:bCs/>
          <w:sz w:val="24"/>
          <w:szCs w:val="24"/>
          <w:u w:val="single"/>
        </w:rPr>
      </w:pPr>
    </w:p>
    <w:p w14:paraId="179B1EF4" w14:textId="77777777" w:rsidR="00AC6EC6" w:rsidRPr="006813E7" w:rsidRDefault="00AC6EC6" w:rsidP="00AC6EC6">
      <w:pPr>
        <w:pStyle w:val="ListParagraph"/>
        <w:numPr>
          <w:ilvl w:val="0"/>
          <w:numId w:val="28"/>
        </w:numPr>
        <w:autoSpaceDE w:val="0"/>
        <w:autoSpaceDN w:val="0"/>
        <w:adjustRightInd w:val="0"/>
        <w:spacing w:after="0" w:line="240" w:lineRule="auto"/>
        <w:rPr>
          <w:rFonts w:cstheme="minorHAnsi"/>
          <w:b/>
          <w:bCs/>
          <w:sz w:val="24"/>
          <w:szCs w:val="24"/>
          <w:u w:val="single"/>
        </w:rPr>
      </w:pPr>
      <w:r w:rsidRPr="006813E7">
        <w:rPr>
          <w:b/>
          <w:bCs/>
        </w:rPr>
        <w:t>New requirement</w:t>
      </w:r>
    </w:p>
    <w:p w14:paraId="3D83A11D" w14:textId="77777777" w:rsidR="00AC6EC6" w:rsidRDefault="00AC6EC6" w:rsidP="00AC6EC6">
      <w:pPr>
        <w:pStyle w:val="ListParagraph"/>
        <w:autoSpaceDE w:val="0"/>
        <w:autoSpaceDN w:val="0"/>
        <w:adjustRightInd w:val="0"/>
        <w:spacing w:after="0" w:line="240" w:lineRule="auto"/>
      </w:pPr>
    </w:p>
    <w:p w14:paraId="685A06A1" w14:textId="7DC89BAA" w:rsidR="00AC6EC6" w:rsidRDefault="00AC6EC6" w:rsidP="00AC6EC6">
      <w:pPr>
        <w:pStyle w:val="ListParagraph"/>
        <w:autoSpaceDE w:val="0"/>
        <w:autoSpaceDN w:val="0"/>
        <w:adjustRightInd w:val="0"/>
        <w:spacing w:after="0" w:line="240" w:lineRule="auto"/>
      </w:pPr>
      <w:r>
        <w:t xml:space="preserve"> Qualifications of report authors and evaluators. Clause 6.4 introduces specific requirements for the expertise and experience of CER authors and evaluators, including a relevant higher education degree and five years’ related professional experience, or ten years’ professional experience if a degree is not considered a prerequisite for the task. Deviations from these requirements should be documented and duly justified. All evaluators must now make a declaration of interest.</w:t>
      </w:r>
      <w:r>
        <w:tab/>
      </w:r>
    </w:p>
    <w:p w14:paraId="1408C990" w14:textId="30295615" w:rsidR="00AC6EC6" w:rsidRDefault="00AC6EC6" w:rsidP="00AC6EC6">
      <w:pPr>
        <w:pStyle w:val="ListParagraph"/>
        <w:autoSpaceDE w:val="0"/>
        <w:autoSpaceDN w:val="0"/>
        <w:adjustRightInd w:val="0"/>
        <w:spacing w:after="0" w:line="240" w:lineRule="auto"/>
      </w:pPr>
    </w:p>
    <w:p w14:paraId="0DCE912C" w14:textId="77777777" w:rsidR="006813E7" w:rsidRPr="006813E7" w:rsidRDefault="00AC6EC6" w:rsidP="006813E7">
      <w:pPr>
        <w:pStyle w:val="ListParagraph"/>
        <w:numPr>
          <w:ilvl w:val="0"/>
          <w:numId w:val="28"/>
        </w:numPr>
        <w:autoSpaceDE w:val="0"/>
        <w:autoSpaceDN w:val="0"/>
        <w:adjustRightInd w:val="0"/>
        <w:spacing w:after="0" w:line="240" w:lineRule="auto"/>
        <w:rPr>
          <w:rFonts w:cstheme="minorHAnsi"/>
          <w:b/>
          <w:bCs/>
          <w:sz w:val="24"/>
          <w:szCs w:val="24"/>
          <w:u w:val="single"/>
        </w:rPr>
      </w:pPr>
      <w:r w:rsidRPr="006813E7">
        <w:rPr>
          <w:b/>
          <w:bCs/>
        </w:rPr>
        <w:t>Clarification</w:t>
      </w:r>
      <w:r w:rsidR="006813E7" w:rsidRPr="006813E7">
        <w:rPr>
          <w:b/>
          <w:bCs/>
        </w:rPr>
        <w:t>:</w:t>
      </w:r>
      <w:r w:rsidRPr="006813E7">
        <w:rPr>
          <w:b/>
          <w:bCs/>
        </w:rPr>
        <w:t xml:space="preserve"> Specific and measurable objectives for the CER. </w:t>
      </w:r>
    </w:p>
    <w:p w14:paraId="55B63615" w14:textId="77777777" w:rsidR="006813E7" w:rsidRDefault="006813E7" w:rsidP="006813E7">
      <w:pPr>
        <w:pStyle w:val="ListParagraph"/>
        <w:autoSpaceDE w:val="0"/>
        <w:autoSpaceDN w:val="0"/>
        <w:adjustRightInd w:val="0"/>
        <w:spacing w:after="0" w:line="240" w:lineRule="auto"/>
      </w:pPr>
    </w:p>
    <w:p w14:paraId="3CD82305" w14:textId="48A3F9E2" w:rsidR="00AC6EC6" w:rsidRPr="006813E7" w:rsidRDefault="00AC6EC6" w:rsidP="006813E7">
      <w:pPr>
        <w:pStyle w:val="ListParagraph"/>
        <w:autoSpaceDE w:val="0"/>
        <w:autoSpaceDN w:val="0"/>
        <w:adjustRightInd w:val="0"/>
        <w:spacing w:after="0" w:line="240" w:lineRule="auto"/>
        <w:rPr>
          <w:rFonts w:cstheme="minorHAnsi"/>
          <w:b/>
          <w:bCs/>
          <w:sz w:val="24"/>
          <w:szCs w:val="24"/>
          <w:u w:val="single"/>
        </w:rPr>
      </w:pPr>
      <w:r>
        <w:t xml:space="preserve">Revision 3 of MEDDEV 2.7.1 required the manufacturer to document the objectives and scope of the CER, and to define these in terms of safety, performance and risk endpoints related to the Essential Requirements – but the link between scope and endpoints was perhaps somewhat buried in Appendix F, the Clinical Evaluation Checklist for Notified Bodies. Revision 4 makes the requirement for the objectives of the CER to be linked to specific safety, </w:t>
      </w:r>
      <w:r>
        <w:t>performance,</w:t>
      </w:r>
      <w:r>
        <w:t xml:space="preserve"> and risk-benefit endpoints clearer; detailed guidance is provided in Section 7 and Appendix 5.</w:t>
      </w:r>
    </w:p>
    <w:p w14:paraId="6BA09CE4" w14:textId="0BAFD7EF" w:rsidR="00AC6EC6" w:rsidRDefault="00AC6EC6" w:rsidP="00AC6EC6">
      <w:pPr>
        <w:pStyle w:val="ListParagraph"/>
        <w:autoSpaceDE w:val="0"/>
        <w:autoSpaceDN w:val="0"/>
        <w:adjustRightInd w:val="0"/>
        <w:spacing w:after="0" w:line="240" w:lineRule="auto"/>
      </w:pPr>
    </w:p>
    <w:p w14:paraId="54CF5C28" w14:textId="10CCCA85" w:rsidR="00AC6EC6" w:rsidRPr="006813E7" w:rsidRDefault="00AC6EC6" w:rsidP="00AC6EC6">
      <w:pPr>
        <w:pStyle w:val="ListParagraph"/>
        <w:numPr>
          <w:ilvl w:val="0"/>
          <w:numId w:val="28"/>
        </w:numPr>
        <w:autoSpaceDE w:val="0"/>
        <w:autoSpaceDN w:val="0"/>
        <w:adjustRightInd w:val="0"/>
        <w:spacing w:after="0" w:line="240" w:lineRule="auto"/>
        <w:rPr>
          <w:rFonts w:cstheme="minorHAnsi"/>
          <w:b/>
          <w:bCs/>
          <w:sz w:val="24"/>
          <w:szCs w:val="24"/>
          <w:u w:val="single"/>
        </w:rPr>
      </w:pPr>
      <w:r w:rsidRPr="006813E7">
        <w:rPr>
          <w:b/>
          <w:bCs/>
        </w:rPr>
        <w:t>Clarification</w:t>
      </w:r>
      <w:r w:rsidRPr="006813E7">
        <w:rPr>
          <w:b/>
          <w:bCs/>
        </w:rPr>
        <w:t xml:space="preserve"> </w:t>
      </w:r>
      <w:r w:rsidRPr="006813E7">
        <w:rPr>
          <w:b/>
          <w:bCs/>
        </w:rPr>
        <w:t>Establishing the state of the art</w:t>
      </w:r>
      <w:r w:rsidRPr="006813E7">
        <w:rPr>
          <w:b/>
          <w:bCs/>
        </w:rPr>
        <w:t>.</w:t>
      </w:r>
    </w:p>
    <w:p w14:paraId="69E922FF" w14:textId="77777777" w:rsidR="00AC6EC6" w:rsidRDefault="00AC6EC6" w:rsidP="00AC6EC6">
      <w:pPr>
        <w:pStyle w:val="ListParagraph"/>
        <w:autoSpaceDE w:val="0"/>
        <w:autoSpaceDN w:val="0"/>
        <w:adjustRightInd w:val="0"/>
        <w:spacing w:after="0" w:line="240" w:lineRule="auto"/>
      </w:pPr>
    </w:p>
    <w:p w14:paraId="5DB628DE" w14:textId="309F4A10" w:rsidR="00AC6EC6" w:rsidRPr="00AC6EC6" w:rsidRDefault="00AC6EC6" w:rsidP="00AC6EC6">
      <w:pPr>
        <w:pStyle w:val="ListParagraph"/>
        <w:autoSpaceDE w:val="0"/>
        <w:autoSpaceDN w:val="0"/>
        <w:adjustRightInd w:val="0"/>
        <w:spacing w:after="0" w:line="240" w:lineRule="auto"/>
        <w:rPr>
          <w:rFonts w:cstheme="minorHAnsi"/>
          <w:b/>
          <w:bCs/>
          <w:sz w:val="24"/>
          <w:szCs w:val="24"/>
          <w:u w:val="single"/>
        </w:rPr>
      </w:pPr>
      <w:r>
        <w:t>Clause 8.2 provides more detail with respect to establishing and documenting the state of the art and available treatment options. This includes establishing the safety and performance of the device, its claimed equivalent(s), and any benchmark or other similar devices, as well as the risks and benefits of other available treatment options</w:t>
      </w:r>
      <w:r>
        <w:t>.</w:t>
      </w:r>
    </w:p>
    <w:p w14:paraId="601BA5E2" w14:textId="1FB7B708" w:rsidR="00AC6EC6" w:rsidRDefault="00AC6EC6" w:rsidP="00AC6EC6">
      <w:pPr>
        <w:pStyle w:val="ListParagraph"/>
        <w:autoSpaceDE w:val="0"/>
        <w:autoSpaceDN w:val="0"/>
        <w:adjustRightInd w:val="0"/>
        <w:spacing w:after="0" w:line="240" w:lineRule="auto"/>
      </w:pPr>
    </w:p>
    <w:p w14:paraId="07E4B492" w14:textId="77777777" w:rsidR="00AC6EC6" w:rsidRPr="006813E7" w:rsidRDefault="00AC6EC6" w:rsidP="00AC6EC6">
      <w:pPr>
        <w:pStyle w:val="ListParagraph"/>
        <w:numPr>
          <w:ilvl w:val="0"/>
          <w:numId w:val="28"/>
        </w:numPr>
        <w:autoSpaceDE w:val="0"/>
        <w:autoSpaceDN w:val="0"/>
        <w:adjustRightInd w:val="0"/>
        <w:spacing w:after="0" w:line="240" w:lineRule="auto"/>
        <w:rPr>
          <w:b/>
          <w:bCs/>
        </w:rPr>
      </w:pPr>
      <w:r w:rsidRPr="006813E7">
        <w:rPr>
          <w:b/>
          <w:bCs/>
        </w:rPr>
        <w:t>Clarification: Scientific validity of data.</w:t>
      </w:r>
    </w:p>
    <w:p w14:paraId="715143C9" w14:textId="77777777" w:rsidR="00AC6EC6" w:rsidRDefault="00AC6EC6" w:rsidP="00AC6EC6">
      <w:pPr>
        <w:pStyle w:val="ListParagraph"/>
        <w:autoSpaceDE w:val="0"/>
        <w:autoSpaceDN w:val="0"/>
        <w:adjustRightInd w:val="0"/>
        <w:spacing w:after="0" w:line="240" w:lineRule="auto"/>
      </w:pPr>
    </w:p>
    <w:p w14:paraId="65F55EE8" w14:textId="55A262E4" w:rsidR="00AC6EC6" w:rsidRDefault="00AC6EC6" w:rsidP="00AC6EC6">
      <w:pPr>
        <w:pStyle w:val="ListParagraph"/>
        <w:autoSpaceDE w:val="0"/>
        <w:autoSpaceDN w:val="0"/>
        <w:adjustRightInd w:val="0"/>
        <w:spacing w:after="0" w:line="240" w:lineRule="auto"/>
      </w:pPr>
      <w:r>
        <w:t xml:space="preserve"> The new revision places much greater emphasis on demonstrating the scientific validity of data, including statistical considerations. Section 9.3.1 (“How to evaluate methodological quality and scientific validity”) addresses factors which can affect the scientific validity of different types of datasets. In addition, clarifying and explanatory detail is provided throughout the guidance document for each stage of the clinical evaluation process: factors which could affect the completeness, objectivity or weight of data are described, including literature search and retrieval methods (Section 8 and Appendix 5), data appraisal and weighting (Section 9 and </w:t>
      </w:r>
      <w:r>
        <w:lastRenderedPageBreak/>
        <w:t>Appendix 6), and the analysis of data and demonstration of conformity (Section 10 and Appendix 7).</w:t>
      </w:r>
    </w:p>
    <w:p w14:paraId="51B89BD2" w14:textId="323E9CB5" w:rsidR="00AC6EC6" w:rsidRDefault="00AC6EC6" w:rsidP="00AC6EC6">
      <w:pPr>
        <w:pStyle w:val="ListParagraph"/>
        <w:autoSpaceDE w:val="0"/>
        <w:autoSpaceDN w:val="0"/>
        <w:adjustRightInd w:val="0"/>
        <w:spacing w:after="0" w:line="240" w:lineRule="auto"/>
      </w:pPr>
    </w:p>
    <w:p w14:paraId="722D869C" w14:textId="77777777" w:rsidR="00AC6EC6" w:rsidRPr="006813E7" w:rsidRDefault="00AC6EC6" w:rsidP="00AC6EC6">
      <w:pPr>
        <w:pStyle w:val="ListParagraph"/>
        <w:numPr>
          <w:ilvl w:val="0"/>
          <w:numId w:val="28"/>
        </w:numPr>
        <w:autoSpaceDE w:val="0"/>
        <w:autoSpaceDN w:val="0"/>
        <w:adjustRightInd w:val="0"/>
        <w:spacing w:after="0" w:line="240" w:lineRule="auto"/>
        <w:rPr>
          <w:b/>
          <w:bCs/>
        </w:rPr>
      </w:pPr>
      <w:r w:rsidRPr="006813E7">
        <w:rPr>
          <w:b/>
          <w:bCs/>
        </w:rPr>
        <w:t>Clarification: Equivalence.</w:t>
      </w:r>
    </w:p>
    <w:p w14:paraId="15BC824E" w14:textId="77777777" w:rsidR="00AC6EC6" w:rsidRDefault="00AC6EC6" w:rsidP="00AC6EC6">
      <w:pPr>
        <w:pStyle w:val="ListParagraph"/>
        <w:autoSpaceDE w:val="0"/>
        <w:autoSpaceDN w:val="0"/>
        <w:adjustRightInd w:val="0"/>
        <w:spacing w:after="0" w:line="240" w:lineRule="auto"/>
      </w:pPr>
    </w:p>
    <w:p w14:paraId="4E2E954B" w14:textId="77777777" w:rsidR="00AC6EC6" w:rsidRDefault="00AC6EC6" w:rsidP="00AC6EC6">
      <w:pPr>
        <w:pStyle w:val="ListParagraph"/>
        <w:autoSpaceDE w:val="0"/>
        <w:autoSpaceDN w:val="0"/>
        <w:adjustRightInd w:val="0"/>
        <w:spacing w:after="0" w:line="240" w:lineRule="auto"/>
      </w:pPr>
      <w:r>
        <w:t xml:space="preserve"> What was just a footnote in Appendix F of Revision 3 of the guidance document has been expanded considerably in Revision 4, and the requirements for demonstration of equivalence are described in detail in Appendix 1. The criteria (clinical, technological, biological) are unchanged, but more information on how this should be documented and factors which could affect the demonstration of equivalence are provided. In particular, Revision 4 requires that design differences and their impacts on clinical safety and performance be described in detail, that comparative drawings and diagrams should be provided, and that each individual device with which equivalence is claimed must meet all three equivalence criteria. </w:t>
      </w:r>
    </w:p>
    <w:p w14:paraId="7755BB18" w14:textId="77777777" w:rsidR="00AC6EC6" w:rsidRDefault="00AC6EC6" w:rsidP="00AC6EC6">
      <w:pPr>
        <w:pStyle w:val="ListParagraph"/>
        <w:autoSpaceDE w:val="0"/>
        <w:autoSpaceDN w:val="0"/>
        <w:adjustRightInd w:val="0"/>
        <w:spacing w:after="0" w:line="240" w:lineRule="auto"/>
      </w:pPr>
    </w:p>
    <w:p w14:paraId="0F1C09D0" w14:textId="77777777" w:rsidR="00AC6EC6" w:rsidRPr="006813E7" w:rsidRDefault="00AC6EC6" w:rsidP="00AC6EC6">
      <w:pPr>
        <w:pStyle w:val="ListParagraph"/>
        <w:numPr>
          <w:ilvl w:val="0"/>
          <w:numId w:val="28"/>
        </w:numPr>
        <w:autoSpaceDE w:val="0"/>
        <w:autoSpaceDN w:val="0"/>
        <w:adjustRightInd w:val="0"/>
        <w:spacing w:after="0" w:line="240" w:lineRule="auto"/>
        <w:rPr>
          <w:b/>
          <w:bCs/>
        </w:rPr>
      </w:pPr>
      <w:r w:rsidRPr="006813E7">
        <w:rPr>
          <w:b/>
          <w:bCs/>
        </w:rPr>
        <w:t>New requirement: Access to data for equivalent devices.</w:t>
      </w:r>
    </w:p>
    <w:p w14:paraId="4497FB9B" w14:textId="77777777" w:rsidR="00AC6EC6" w:rsidRDefault="00AC6EC6" w:rsidP="00AC6EC6">
      <w:pPr>
        <w:pStyle w:val="ListParagraph"/>
        <w:autoSpaceDE w:val="0"/>
        <w:autoSpaceDN w:val="0"/>
        <w:adjustRightInd w:val="0"/>
        <w:spacing w:after="0" w:line="240" w:lineRule="auto"/>
      </w:pPr>
    </w:p>
    <w:p w14:paraId="26643F01" w14:textId="77777777" w:rsidR="00AC6EC6" w:rsidRDefault="00AC6EC6" w:rsidP="00AC6EC6">
      <w:pPr>
        <w:pStyle w:val="ListParagraph"/>
        <w:autoSpaceDE w:val="0"/>
        <w:autoSpaceDN w:val="0"/>
        <w:adjustRightInd w:val="0"/>
        <w:spacing w:after="0" w:line="240" w:lineRule="auto"/>
      </w:pPr>
      <w:r>
        <w:t xml:space="preserve"> Revision 4 also requires that the Notified Body challenge the manufacturer’s access to data on the equivalent device(s) (Appendix A12.2.3); this is considered a transition point for the Regulation, which will require a manufacturer to have a contract in place allowing access to data for competitor devices with which equivalence is claimed. </w:t>
      </w:r>
    </w:p>
    <w:p w14:paraId="03934440" w14:textId="77777777" w:rsidR="00AC6EC6" w:rsidRDefault="00AC6EC6" w:rsidP="00AC6EC6">
      <w:pPr>
        <w:pStyle w:val="ListParagraph"/>
        <w:autoSpaceDE w:val="0"/>
        <w:autoSpaceDN w:val="0"/>
        <w:adjustRightInd w:val="0"/>
        <w:spacing w:after="0" w:line="240" w:lineRule="auto"/>
      </w:pPr>
    </w:p>
    <w:p w14:paraId="19C4FC80" w14:textId="77777777" w:rsidR="00AC6EC6" w:rsidRPr="006813E7" w:rsidRDefault="00AC6EC6" w:rsidP="00AC6EC6">
      <w:pPr>
        <w:pStyle w:val="ListParagraph"/>
        <w:numPr>
          <w:ilvl w:val="0"/>
          <w:numId w:val="28"/>
        </w:numPr>
        <w:autoSpaceDE w:val="0"/>
        <w:autoSpaceDN w:val="0"/>
        <w:adjustRightInd w:val="0"/>
        <w:spacing w:after="0" w:line="240" w:lineRule="auto"/>
        <w:rPr>
          <w:b/>
          <w:bCs/>
        </w:rPr>
      </w:pPr>
      <w:r w:rsidRPr="006813E7">
        <w:rPr>
          <w:b/>
          <w:bCs/>
        </w:rPr>
        <w:t xml:space="preserve">Clarification: When is a clinical investigation required? </w:t>
      </w:r>
    </w:p>
    <w:p w14:paraId="610ADFAA" w14:textId="77777777" w:rsidR="00AC6EC6" w:rsidRDefault="00AC6EC6" w:rsidP="00AC6EC6">
      <w:pPr>
        <w:pStyle w:val="ListParagraph"/>
        <w:autoSpaceDE w:val="0"/>
        <w:autoSpaceDN w:val="0"/>
        <w:adjustRightInd w:val="0"/>
        <w:spacing w:after="0" w:line="240" w:lineRule="auto"/>
      </w:pPr>
    </w:p>
    <w:p w14:paraId="4248D4D9" w14:textId="77777777" w:rsidR="00AC6EC6" w:rsidRDefault="00AC6EC6" w:rsidP="00AC6EC6">
      <w:pPr>
        <w:pStyle w:val="ListParagraph"/>
        <w:autoSpaceDE w:val="0"/>
        <w:autoSpaceDN w:val="0"/>
        <w:adjustRightInd w:val="0"/>
        <w:spacing w:after="0" w:line="240" w:lineRule="auto"/>
      </w:pPr>
      <w:r>
        <w:t>Appendix 2 describes key considerations relating to device risk and how manufacturers should determine if they have sufficient clinical evidence.</w:t>
      </w:r>
    </w:p>
    <w:p w14:paraId="3253B1A4" w14:textId="77777777" w:rsidR="00AC6EC6" w:rsidRDefault="00AC6EC6" w:rsidP="00AC6EC6">
      <w:pPr>
        <w:pStyle w:val="ListParagraph"/>
        <w:autoSpaceDE w:val="0"/>
        <w:autoSpaceDN w:val="0"/>
        <w:adjustRightInd w:val="0"/>
        <w:spacing w:after="0" w:line="240" w:lineRule="auto"/>
      </w:pPr>
    </w:p>
    <w:p w14:paraId="009F705A" w14:textId="77777777" w:rsidR="00AC6EC6" w:rsidRDefault="00AC6EC6" w:rsidP="00AC6EC6">
      <w:pPr>
        <w:pStyle w:val="ListParagraph"/>
        <w:numPr>
          <w:ilvl w:val="0"/>
          <w:numId w:val="28"/>
        </w:numPr>
        <w:autoSpaceDE w:val="0"/>
        <w:autoSpaceDN w:val="0"/>
        <w:adjustRightInd w:val="0"/>
        <w:spacing w:after="0" w:line="240" w:lineRule="auto"/>
      </w:pPr>
      <w:r w:rsidRPr="006813E7">
        <w:rPr>
          <w:b/>
          <w:bCs/>
        </w:rPr>
        <w:t>Clarification: Risk-benefit</w:t>
      </w:r>
      <w:r>
        <w:t xml:space="preserve">. </w:t>
      </w:r>
    </w:p>
    <w:p w14:paraId="195F2C1E" w14:textId="77777777" w:rsidR="00AC6EC6" w:rsidRDefault="00AC6EC6" w:rsidP="00AC6EC6">
      <w:pPr>
        <w:pStyle w:val="ListParagraph"/>
        <w:autoSpaceDE w:val="0"/>
        <w:autoSpaceDN w:val="0"/>
        <w:adjustRightInd w:val="0"/>
        <w:spacing w:after="0" w:line="240" w:lineRule="auto"/>
      </w:pPr>
    </w:p>
    <w:p w14:paraId="1A4D0A19" w14:textId="77514532" w:rsidR="00AC6EC6" w:rsidRDefault="00AC6EC6" w:rsidP="00AC6EC6">
      <w:pPr>
        <w:pStyle w:val="ListParagraph"/>
        <w:autoSpaceDE w:val="0"/>
        <w:autoSpaceDN w:val="0"/>
        <w:adjustRightInd w:val="0"/>
        <w:spacing w:after="0" w:line="240" w:lineRule="auto"/>
      </w:pPr>
      <w:r>
        <w:t xml:space="preserve">Appendix 7 provides detailed guidance on the analysis of data to demonstrate device safety and performance. Appendix 7.2 discusses the risk-benefit </w:t>
      </w:r>
      <w:r w:rsidR="006813E7">
        <w:t>profile, including</w:t>
      </w:r>
      <w:r>
        <w:t xml:space="preserve"> the evaluation and quantification of benefits and risks, and the evaluation of the overall risk-benefit profile. The value of post-market data, and factors which could affect the statistical validity of the evaluation of this data, are addressed in some detail. </w:t>
      </w:r>
    </w:p>
    <w:p w14:paraId="61C63700" w14:textId="77777777" w:rsidR="00AC6EC6" w:rsidRDefault="00AC6EC6" w:rsidP="00AC6EC6">
      <w:pPr>
        <w:pStyle w:val="ListParagraph"/>
        <w:autoSpaceDE w:val="0"/>
        <w:autoSpaceDN w:val="0"/>
        <w:adjustRightInd w:val="0"/>
        <w:spacing w:after="0" w:line="240" w:lineRule="auto"/>
      </w:pPr>
    </w:p>
    <w:p w14:paraId="02E49491" w14:textId="77777777" w:rsidR="00AC6EC6" w:rsidRPr="006813E7" w:rsidRDefault="00AC6EC6" w:rsidP="00AC6EC6">
      <w:pPr>
        <w:pStyle w:val="ListParagraph"/>
        <w:numPr>
          <w:ilvl w:val="0"/>
          <w:numId w:val="28"/>
        </w:numPr>
        <w:autoSpaceDE w:val="0"/>
        <w:autoSpaceDN w:val="0"/>
        <w:adjustRightInd w:val="0"/>
        <w:spacing w:after="0" w:line="240" w:lineRule="auto"/>
        <w:rPr>
          <w:b/>
          <w:bCs/>
        </w:rPr>
      </w:pPr>
      <w:r w:rsidRPr="006813E7">
        <w:rPr>
          <w:b/>
          <w:bCs/>
        </w:rPr>
        <w:t xml:space="preserve">Clarification: Post Market Surveillance (PMS) and Post Market Clinical Follow-up (PMCF). </w:t>
      </w:r>
    </w:p>
    <w:p w14:paraId="3D6A999F" w14:textId="77777777" w:rsidR="006813E7" w:rsidRDefault="006813E7" w:rsidP="00AC6EC6">
      <w:pPr>
        <w:pStyle w:val="ListParagraph"/>
        <w:autoSpaceDE w:val="0"/>
        <w:autoSpaceDN w:val="0"/>
        <w:adjustRightInd w:val="0"/>
        <w:spacing w:after="0" w:line="240" w:lineRule="auto"/>
      </w:pPr>
    </w:p>
    <w:p w14:paraId="270EA84B" w14:textId="3ED99D0C" w:rsidR="00AC6EC6" w:rsidRPr="00AC6EC6" w:rsidRDefault="00AC6EC6" w:rsidP="00AC6EC6">
      <w:pPr>
        <w:pStyle w:val="ListParagraph"/>
        <w:autoSpaceDE w:val="0"/>
        <w:autoSpaceDN w:val="0"/>
        <w:adjustRightInd w:val="0"/>
        <w:spacing w:after="0" w:line="240" w:lineRule="auto"/>
      </w:pPr>
      <w:r>
        <w:t xml:space="preserve">Throughout Revision 4 of the guidance document, the links between clinical evaluations, PMS and PMCF are reinforced. Appendix 12 highlights the requirement for Notified Bodies to ensure that PMCF is planned and appropriately justified </w:t>
      </w:r>
      <w:r>
        <w:t>considering</w:t>
      </w:r>
      <w:r>
        <w:t xml:space="preserve"> the data retrieved and conclusions documented in the CER.</w:t>
      </w:r>
    </w:p>
    <w:sectPr w:rsidR="00AC6EC6" w:rsidRPr="00AC6E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07739A" w14:textId="77777777" w:rsidR="00650961" w:rsidRDefault="00650961" w:rsidP="00650961">
      <w:pPr>
        <w:spacing w:after="0" w:line="240" w:lineRule="auto"/>
      </w:pPr>
      <w:r>
        <w:separator/>
      </w:r>
    </w:p>
  </w:endnote>
  <w:endnote w:type="continuationSeparator" w:id="0">
    <w:p w14:paraId="292B5E53" w14:textId="77777777" w:rsidR="00650961" w:rsidRDefault="00650961" w:rsidP="00650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9E1221" w14:textId="77777777" w:rsidR="00650961" w:rsidRDefault="00650961" w:rsidP="00650961">
      <w:pPr>
        <w:spacing w:after="0" w:line="240" w:lineRule="auto"/>
      </w:pPr>
      <w:r>
        <w:separator/>
      </w:r>
    </w:p>
  </w:footnote>
  <w:footnote w:type="continuationSeparator" w:id="0">
    <w:p w14:paraId="2E290E29" w14:textId="77777777" w:rsidR="00650961" w:rsidRDefault="00650961" w:rsidP="006509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B673F"/>
    <w:multiLevelType w:val="multilevel"/>
    <w:tmpl w:val="75CEE352"/>
    <w:lvl w:ilvl="0">
      <w:start w:val="1"/>
      <w:numFmt w:val="bullet"/>
      <w:lvlText w:val=""/>
      <w:lvlJc w:val="left"/>
      <w:pPr>
        <w:tabs>
          <w:tab w:val="num" w:pos="1080"/>
        </w:tabs>
        <w:ind w:left="1080" w:hanging="360"/>
      </w:pPr>
      <w:rPr>
        <w:rFonts w:ascii="Wingdings" w:hAnsi="Wingding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7FC71CC"/>
    <w:multiLevelType w:val="multilevel"/>
    <w:tmpl w:val="ECC27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5433A"/>
    <w:multiLevelType w:val="hybridMultilevel"/>
    <w:tmpl w:val="2788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F17CA"/>
    <w:multiLevelType w:val="hybridMultilevel"/>
    <w:tmpl w:val="9FA4B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0D7CFB"/>
    <w:multiLevelType w:val="hybridMultilevel"/>
    <w:tmpl w:val="F9388000"/>
    <w:lvl w:ilvl="0" w:tplc="D4EABE3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37F0D"/>
    <w:multiLevelType w:val="hybridMultilevel"/>
    <w:tmpl w:val="C0200008"/>
    <w:lvl w:ilvl="0" w:tplc="EA2643F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745D7B"/>
    <w:multiLevelType w:val="hybridMultilevel"/>
    <w:tmpl w:val="0CFEC02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E5F2F76"/>
    <w:multiLevelType w:val="hybridMultilevel"/>
    <w:tmpl w:val="01324698"/>
    <w:lvl w:ilvl="0" w:tplc="D4EABE3A">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D96514"/>
    <w:multiLevelType w:val="multilevel"/>
    <w:tmpl w:val="FB72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242AE"/>
    <w:multiLevelType w:val="hybridMultilevel"/>
    <w:tmpl w:val="85D24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15226"/>
    <w:multiLevelType w:val="multilevel"/>
    <w:tmpl w:val="8062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C5EF9"/>
    <w:multiLevelType w:val="hybridMultilevel"/>
    <w:tmpl w:val="97ECE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BD7350"/>
    <w:multiLevelType w:val="hybridMultilevel"/>
    <w:tmpl w:val="37287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C97D7E"/>
    <w:multiLevelType w:val="hybridMultilevel"/>
    <w:tmpl w:val="83804D1E"/>
    <w:lvl w:ilvl="0" w:tplc="EA2643F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CE2E93"/>
    <w:multiLevelType w:val="hybridMultilevel"/>
    <w:tmpl w:val="022A6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FF280B"/>
    <w:multiLevelType w:val="hybridMultilevel"/>
    <w:tmpl w:val="F4A88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DD4BA6"/>
    <w:multiLevelType w:val="hybridMultilevel"/>
    <w:tmpl w:val="B54CB78E"/>
    <w:lvl w:ilvl="0" w:tplc="D4EABE3A">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EB66702"/>
    <w:multiLevelType w:val="hybridMultilevel"/>
    <w:tmpl w:val="EE66651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4C957FD"/>
    <w:multiLevelType w:val="hybridMultilevel"/>
    <w:tmpl w:val="8982C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0D2DA9"/>
    <w:multiLevelType w:val="hybridMultilevel"/>
    <w:tmpl w:val="D2886B3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D3C1F61"/>
    <w:multiLevelType w:val="hybridMultilevel"/>
    <w:tmpl w:val="FA229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10419A"/>
    <w:multiLevelType w:val="multilevel"/>
    <w:tmpl w:val="D7A0D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C14555"/>
    <w:multiLevelType w:val="hybridMultilevel"/>
    <w:tmpl w:val="36CCB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3A3BA0"/>
    <w:multiLevelType w:val="hybridMultilevel"/>
    <w:tmpl w:val="3D80AD2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739F726A"/>
    <w:multiLevelType w:val="hybridMultilevel"/>
    <w:tmpl w:val="5FEAE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152D90"/>
    <w:multiLevelType w:val="hybridMultilevel"/>
    <w:tmpl w:val="339A1DB4"/>
    <w:lvl w:ilvl="0" w:tplc="D4EABE3A">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BFD5D40"/>
    <w:multiLevelType w:val="multilevel"/>
    <w:tmpl w:val="5F0A98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817782"/>
    <w:multiLevelType w:val="hybridMultilevel"/>
    <w:tmpl w:val="ED4C0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4"/>
  </w:num>
  <w:num w:numId="3">
    <w:abstractNumId w:val="20"/>
  </w:num>
  <w:num w:numId="4">
    <w:abstractNumId w:val="21"/>
  </w:num>
  <w:num w:numId="5">
    <w:abstractNumId w:val="0"/>
  </w:num>
  <w:num w:numId="6">
    <w:abstractNumId w:val="8"/>
  </w:num>
  <w:num w:numId="7">
    <w:abstractNumId w:val="26"/>
  </w:num>
  <w:num w:numId="8">
    <w:abstractNumId w:val="6"/>
  </w:num>
  <w:num w:numId="9">
    <w:abstractNumId w:val="18"/>
  </w:num>
  <w:num w:numId="10">
    <w:abstractNumId w:val="23"/>
  </w:num>
  <w:num w:numId="11">
    <w:abstractNumId w:val="17"/>
  </w:num>
  <w:num w:numId="12">
    <w:abstractNumId w:val="19"/>
  </w:num>
  <w:num w:numId="13">
    <w:abstractNumId w:val="24"/>
  </w:num>
  <w:num w:numId="14">
    <w:abstractNumId w:val="13"/>
  </w:num>
  <w:num w:numId="15">
    <w:abstractNumId w:val="12"/>
  </w:num>
  <w:num w:numId="16">
    <w:abstractNumId w:val="9"/>
  </w:num>
  <w:num w:numId="17">
    <w:abstractNumId w:val="25"/>
  </w:num>
  <w:num w:numId="18">
    <w:abstractNumId w:val="2"/>
  </w:num>
  <w:num w:numId="19">
    <w:abstractNumId w:val="16"/>
  </w:num>
  <w:num w:numId="20">
    <w:abstractNumId w:val="4"/>
  </w:num>
  <w:num w:numId="21">
    <w:abstractNumId w:val="11"/>
  </w:num>
  <w:num w:numId="22">
    <w:abstractNumId w:val="15"/>
  </w:num>
  <w:num w:numId="23">
    <w:abstractNumId w:val="7"/>
  </w:num>
  <w:num w:numId="24">
    <w:abstractNumId w:val="27"/>
  </w:num>
  <w:num w:numId="25">
    <w:abstractNumId w:val="1"/>
  </w:num>
  <w:num w:numId="26">
    <w:abstractNumId w:val="10"/>
  </w:num>
  <w:num w:numId="27">
    <w:abstractNumId w:val="22"/>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961"/>
    <w:rsid w:val="00040BB6"/>
    <w:rsid w:val="000D2DE4"/>
    <w:rsid w:val="000D366F"/>
    <w:rsid w:val="00135253"/>
    <w:rsid w:val="001D6C82"/>
    <w:rsid w:val="001D76C6"/>
    <w:rsid w:val="001E7323"/>
    <w:rsid w:val="00263986"/>
    <w:rsid w:val="002E1D9D"/>
    <w:rsid w:val="002E5B47"/>
    <w:rsid w:val="003B5D06"/>
    <w:rsid w:val="003B6A10"/>
    <w:rsid w:val="00460700"/>
    <w:rsid w:val="00525FE5"/>
    <w:rsid w:val="00571684"/>
    <w:rsid w:val="005E769B"/>
    <w:rsid w:val="00650961"/>
    <w:rsid w:val="00672018"/>
    <w:rsid w:val="006813E7"/>
    <w:rsid w:val="00681FC5"/>
    <w:rsid w:val="00691943"/>
    <w:rsid w:val="00766CD9"/>
    <w:rsid w:val="008359B6"/>
    <w:rsid w:val="008756E5"/>
    <w:rsid w:val="008761E8"/>
    <w:rsid w:val="008C52E9"/>
    <w:rsid w:val="009B246D"/>
    <w:rsid w:val="009F62B9"/>
    <w:rsid w:val="00A161FF"/>
    <w:rsid w:val="00A3080F"/>
    <w:rsid w:val="00AB240C"/>
    <w:rsid w:val="00AC2808"/>
    <w:rsid w:val="00AC6EC6"/>
    <w:rsid w:val="00BA37DE"/>
    <w:rsid w:val="00D97CCB"/>
    <w:rsid w:val="00DC0AC9"/>
    <w:rsid w:val="00E23C9D"/>
    <w:rsid w:val="00EC0114"/>
    <w:rsid w:val="00EC0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6F7A0"/>
  <w15:chartTrackingRefBased/>
  <w15:docId w15:val="{10A1FF33-D798-4554-9A42-3085C5DA7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E76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A161F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0EBA"/>
    <w:pPr>
      <w:ind w:left="720"/>
      <w:contextualSpacing/>
    </w:pPr>
  </w:style>
  <w:style w:type="paragraph" w:styleId="NormalWeb">
    <w:name w:val="Normal (Web)"/>
    <w:basedOn w:val="Normal"/>
    <w:uiPriority w:val="99"/>
    <w:semiHidden/>
    <w:unhideWhenUsed/>
    <w:rsid w:val="000D36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D366F"/>
    <w:rPr>
      <w:color w:val="0000FF"/>
      <w:u w:val="single"/>
    </w:rPr>
  </w:style>
  <w:style w:type="character" w:styleId="Strong">
    <w:name w:val="Strong"/>
    <w:basedOn w:val="DefaultParagraphFont"/>
    <w:uiPriority w:val="22"/>
    <w:qFormat/>
    <w:rsid w:val="00A161FF"/>
    <w:rPr>
      <w:b/>
      <w:bCs/>
    </w:rPr>
  </w:style>
  <w:style w:type="character" w:customStyle="1" w:styleId="Heading4Char">
    <w:name w:val="Heading 4 Char"/>
    <w:basedOn w:val="DefaultParagraphFont"/>
    <w:link w:val="Heading4"/>
    <w:uiPriority w:val="9"/>
    <w:rsid w:val="00A161FF"/>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5E76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769B"/>
    <w:rPr>
      <w:rFonts w:ascii="Segoe UI" w:hAnsi="Segoe UI" w:cs="Segoe UI"/>
      <w:sz w:val="18"/>
      <w:szCs w:val="18"/>
    </w:rPr>
  </w:style>
  <w:style w:type="character" w:customStyle="1" w:styleId="Heading2Char">
    <w:name w:val="Heading 2 Char"/>
    <w:basedOn w:val="DefaultParagraphFont"/>
    <w:link w:val="Heading2"/>
    <w:uiPriority w:val="9"/>
    <w:semiHidden/>
    <w:rsid w:val="005E769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92762">
      <w:bodyDiv w:val="1"/>
      <w:marLeft w:val="0"/>
      <w:marRight w:val="0"/>
      <w:marTop w:val="0"/>
      <w:marBottom w:val="0"/>
      <w:divBdr>
        <w:top w:val="none" w:sz="0" w:space="0" w:color="auto"/>
        <w:left w:val="none" w:sz="0" w:space="0" w:color="auto"/>
        <w:bottom w:val="none" w:sz="0" w:space="0" w:color="auto"/>
        <w:right w:val="none" w:sz="0" w:space="0" w:color="auto"/>
      </w:divBdr>
    </w:div>
    <w:div w:id="12000573">
      <w:bodyDiv w:val="1"/>
      <w:marLeft w:val="0"/>
      <w:marRight w:val="0"/>
      <w:marTop w:val="0"/>
      <w:marBottom w:val="0"/>
      <w:divBdr>
        <w:top w:val="none" w:sz="0" w:space="0" w:color="auto"/>
        <w:left w:val="none" w:sz="0" w:space="0" w:color="auto"/>
        <w:bottom w:val="none" w:sz="0" w:space="0" w:color="auto"/>
        <w:right w:val="none" w:sz="0" w:space="0" w:color="auto"/>
      </w:divBdr>
    </w:div>
    <w:div w:id="39670684">
      <w:bodyDiv w:val="1"/>
      <w:marLeft w:val="0"/>
      <w:marRight w:val="0"/>
      <w:marTop w:val="0"/>
      <w:marBottom w:val="0"/>
      <w:divBdr>
        <w:top w:val="none" w:sz="0" w:space="0" w:color="auto"/>
        <w:left w:val="none" w:sz="0" w:space="0" w:color="auto"/>
        <w:bottom w:val="none" w:sz="0" w:space="0" w:color="auto"/>
        <w:right w:val="none" w:sz="0" w:space="0" w:color="auto"/>
      </w:divBdr>
    </w:div>
    <w:div w:id="434909911">
      <w:bodyDiv w:val="1"/>
      <w:marLeft w:val="0"/>
      <w:marRight w:val="0"/>
      <w:marTop w:val="0"/>
      <w:marBottom w:val="0"/>
      <w:divBdr>
        <w:top w:val="none" w:sz="0" w:space="0" w:color="auto"/>
        <w:left w:val="none" w:sz="0" w:space="0" w:color="auto"/>
        <w:bottom w:val="none" w:sz="0" w:space="0" w:color="auto"/>
        <w:right w:val="none" w:sz="0" w:space="0" w:color="auto"/>
      </w:divBdr>
    </w:div>
    <w:div w:id="996035626">
      <w:bodyDiv w:val="1"/>
      <w:marLeft w:val="0"/>
      <w:marRight w:val="0"/>
      <w:marTop w:val="0"/>
      <w:marBottom w:val="0"/>
      <w:divBdr>
        <w:top w:val="none" w:sz="0" w:space="0" w:color="auto"/>
        <w:left w:val="none" w:sz="0" w:space="0" w:color="auto"/>
        <w:bottom w:val="none" w:sz="0" w:space="0" w:color="auto"/>
        <w:right w:val="none" w:sz="0" w:space="0" w:color="auto"/>
      </w:divBdr>
    </w:div>
    <w:div w:id="1010062166">
      <w:bodyDiv w:val="1"/>
      <w:marLeft w:val="0"/>
      <w:marRight w:val="0"/>
      <w:marTop w:val="0"/>
      <w:marBottom w:val="0"/>
      <w:divBdr>
        <w:top w:val="none" w:sz="0" w:space="0" w:color="auto"/>
        <w:left w:val="none" w:sz="0" w:space="0" w:color="auto"/>
        <w:bottom w:val="none" w:sz="0" w:space="0" w:color="auto"/>
        <w:right w:val="none" w:sz="0" w:space="0" w:color="auto"/>
      </w:divBdr>
      <w:divsChild>
        <w:div w:id="1443300330">
          <w:marLeft w:val="0"/>
          <w:marRight w:val="0"/>
          <w:marTop w:val="0"/>
          <w:marBottom w:val="0"/>
          <w:divBdr>
            <w:top w:val="none" w:sz="0" w:space="0" w:color="auto"/>
            <w:left w:val="none" w:sz="0" w:space="0" w:color="auto"/>
            <w:bottom w:val="none" w:sz="0" w:space="0" w:color="auto"/>
            <w:right w:val="none" w:sz="0" w:space="0" w:color="auto"/>
          </w:divBdr>
        </w:div>
      </w:divsChild>
    </w:div>
    <w:div w:id="1125739360">
      <w:bodyDiv w:val="1"/>
      <w:marLeft w:val="0"/>
      <w:marRight w:val="0"/>
      <w:marTop w:val="0"/>
      <w:marBottom w:val="0"/>
      <w:divBdr>
        <w:top w:val="none" w:sz="0" w:space="0" w:color="auto"/>
        <w:left w:val="none" w:sz="0" w:space="0" w:color="auto"/>
        <w:bottom w:val="none" w:sz="0" w:space="0" w:color="auto"/>
        <w:right w:val="none" w:sz="0" w:space="0" w:color="auto"/>
      </w:divBdr>
    </w:div>
    <w:div w:id="1205679365">
      <w:bodyDiv w:val="1"/>
      <w:marLeft w:val="0"/>
      <w:marRight w:val="0"/>
      <w:marTop w:val="0"/>
      <w:marBottom w:val="0"/>
      <w:divBdr>
        <w:top w:val="none" w:sz="0" w:space="0" w:color="auto"/>
        <w:left w:val="none" w:sz="0" w:space="0" w:color="auto"/>
        <w:bottom w:val="none" w:sz="0" w:space="0" w:color="auto"/>
        <w:right w:val="none" w:sz="0" w:space="0" w:color="auto"/>
      </w:divBdr>
    </w:div>
    <w:div w:id="1356038019">
      <w:bodyDiv w:val="1"/>
      <w:marLeft w:val="0"/>
      <w:marRight w:val="0"/>
      <w:marTop w:val="0"/>
      <w:marBottom w:val="0"/>
      <w:divBdr>
        <w:top w:val="none" w:sz="0" w:space="0" w:color="auto"/>
        <w:left w:val="none" w:sz="0" w:space="0" w:color="auto"/>
        <w:bottom w:val="none" w:sz="0" w:space="0" w:color="auto"/>
        <w:right w:val="none" w:sz="0" w:space="0" w:color="auto"/>
      </w:divBdr>
    </w:div>
    <w:div w:id="1428500029">
      <w:bodyDiv w:val="1"/>
      <w:marLeft w:val="0"/>
      <w:marRight w:val="0"/>
      <w:marTop w:val="0"/>
      <w:marBottom w:val="0"/>
      <w:divBdr>
        <w:top w:val="none" w:sz="0" w:space="0" w:color="auto"/>
        <w:left w:val="none" w:sz="0" w:space="0" w:color="auto"/>
        <w:bottom w:val="none" w:sz="0" w:space="0" w:color="auto"/>
        <w:right w:val="none" w:sz="0" w:space="0" w:color="auto"/>
      </w:divBdr>
    </w:div>
    <w:div w:id="1526871617">
      <w:bodyDiv w:val="1"/>
      <w:marLeft w:val="0"/>
      <w:marRight w:val="0"/>
      <w:marTop w:val="0"/>
      <w:marBottom w:val="0"/>
      <w:divBdr>
        <w:top w:val="none" w:sz="0" w:space="0" w:color="auto"/>
        <w:left w:val="none" w:sz="0" w:space="0" w:color="auto"/>
        <w:bottom w:val="none" w:sz="0" w:space="0" w:color="auto"/>
        <w:right w:val="none" w:sz="0" w:space="0" w:color="auto"/>
      </w:divBdr>
    </w:div>
    <w:div w:id="1696955840">
      <w:bodyDiv w:val="1"/>
      <w:marLeft w:val="0"/>
      <w:marRight w:val="0"/>
      <w:marTop w:val="0"/>
      <w:marBottom w:val="0"/>
      <w:divBdr>
        <w:top w:val="none" w:sz="0" w:space="0" w:color="auto"/>
        <w:left w:val="none" w:sz="0" w:space="0" w:color="auto"/>
        <w:bottom w:val="none" w:sz="0" w:space="0" w:color="auto"/>
        <w:right w:val="none" w:sz="0" w:space="0" w:color="auto"/>
      </w:divBdr>
    </w:div>
    <w:div w:id="1715352012">
      <w:bodyDiv w:val="1"/>
      <w:marLeft w:val="0"/>
      <w:marRight w:val="0"/>
      <w:marTop w:val="0"/>
      <w:marBottom w:val="0"/>
      <w:divBdr>
        <w:top w:val="none" w:sz="0" w:space="0" w:color="auto"/>
        <w:left w:val="none" w:sz="0" w:space="0" w:color="auto"/>
        <w:bottom w:val="none" w:sz="0" w:space="0" w:color="auto"/>
        <w:right w:val="none" w:sz="0" w:space="0" w:color="auto"/>
      </w:divBdr>
    </w:div>
    <w:div w:id="1717972302">
      <w:bodyDiv w:val="1"/>
      <w:marLeft w:val="0"/>
      <w:marRight w:val="0"/>
      <w:marTop w:val="0"/>
      <w:marBottom w:val="0"/>
      <w:divBdr>
        <w:top w:val="none" w:sz="0" w:space="0" w:color="auto"/>
        <w:left w:val="none" w:sz="0" w:space="0" w:color="auto"/>
        <w:bottom w:val="none" w:sz="0" w:space="0" w:color="auto"/>
        <w:right w:val="none" w:sz="0" w:space="0" w:color="auto"/>
      </w:divBdr>
    </w:div>
    <w:div w:id="1735548069">
      <w:bodyDiv w:val="1"/>
      <w:marLeft w:val="0"/>
      <w:marRight w:val="0"/>
      <w:marTop w:val="0"/>
      <w:marBottom w:val="0"/>
      <w:divBdr>
        <w:top w:val="none" w:sz="0" w:space="0" w:color="auto"/>
        <w:left w:val="none" w:sz="0" w:space="0" w:color="auto"/>
        <w:bottom w:val="none" w:sz="0" w:space="0" w:color="auto"/>
        <w:right w:val="none" w:sz="0" w:space="0" w:color="auto"/>
      </w:divBdr>
      <w:divsChild>
        <w:div w:id="198200835">
          <w:marLeft w:val="0"/>
          <w:marRight w:val="0"/>
          <w:marTop w:val="0"/>
          <w:marBottom w:val="0"/>
          <w:divBdr>
            <w:top w:val="none" w:sz="0" w:space="0" w:color="auto"/>
            <w:left w:val="none" w:sz="0" w:space="0" w:color="auto"/>
            <w:bottom w:val="none" w:sz="0" w:space="0" w:color="auto"/>
            <w:right w:val="none" w:sz="0" w:space="0" w:color="auto"/>
          </w:divBdr>
          <w:divsChild>
            <w:div w:id="211755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40739">
      <w:bodyDiv w:val="1"/>
      <w:marLeft w:val="0"/>
      <w:marRight w:val="0"/>
      <w:marTop w:val="0"/>
      <w:marBottom w:val="0"/>
      <w:divBdr>
        <w:top w:val="none" w:sz="0" w:space="0" w:color="auto"/>
        <w:left w:val="none" w:sz="0" w:space="0" w:color="auto"/>
        <w:bottom w:val="none" w:sz="0" w:space="0" w:color="auto"/>
        <w:right w:val="none" w:sz="0" w:space="0" w:color="auto"/>
      </w:divBdr>
      <w:divsChild>
        <w:div w:id="724644430">
          <w:marLeft w:val="0"/>
          <w:marRight w:val="0"/>
          <w:marTop w:val="0"/>
          <w:marBottom w:val="0"/>
          <w:divBdr>
            <w:top w:val="none" w:sz="0" w:space="0" w:color="auto"/>
            <w:left w:val="none" w:sz="0" w:space="0" w:color="auto"/>
            <w:bottom w:val="none" w:sz="0" w:space="0" w:color="auto"/>
            <w:right w:val="none" w:sz="0" w:space="0" w:color="auto"/>
          </w:divBdr>
        </w:div>
      </w:divsChild>
    </w:div>
    <w:div w:id="2086342052">
      <w:bodyDiv w:val="1"/>
      <w:marLeft w:val="0"/>
      <w:marRight w:val="0"/>
      <w:marTop w:val="0"/>
      <w:marBottom w:val="0"/>
      <w:divBdr>
        <w:top w:val="none" w:sz="0" w:space="0" w:color="auto"/>
        <w:left w:val="none" w:sz="0" w:space="0" w:color="auto"/>
        <w:bottom w:val="none" w:sz="0" w:space="0" w:color="auto"/>
        <w:right w:val="none" w:sz="0" w:space="0" w:color="auto"/>
      </w:divBdr>
    </w:div>
    <w:div w:id="2097289981">
      <w:bodyDiv w:val="1"/>
      <w:marLeft w:val="0"/>
      <w:marRight w:val="0"/>
      <w:marTop w:val="0"/>
      <w:marBottom w:val="0"/>
      <w:divBdr>
        <w:top w:val="none" w:sz="0" w:space="0" w:color="auto"/>
        <w:left w:val="none" w:sz="0" w:space="0" w:color="auto"/>
        <w:bottom w:val="none" w:sz="0" w:space="0" w:color="auto"/>
        <w:right w:val="none" w:sz="0" w:space="0" w:color="auto"/>
      </w:divBdr>
    </w:div>
    <w:div w:id="210340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johner-institute.com/index.php?eID=tx_cms_showpic&amp;file=605&amp;md5=a82995cf8ad4afc2a49eedc139ff7ee2de0b6d38&amp;parameters%5B0%5D=YTo0OntzOjU6IndpZHRoIjtzOjQ6IjgwMG0iO3M6NjoiaGVpZ2h0IjtzOjQ6IjYw&amp;parameters%5B1%5D=MG0iO3M6NzoiYm9keVRhZyI7czo0MToiPGJvZHkgc3R5bGU9Im1hcmdpbjowOyBi&amp;parameters%5B2%5D=YWNrZ3JvdW5kOiNmZmY7Ij4iO3M6NDoid3JhcCI7czozNzoiPGEgaHJlZj0iamF2&amp;parameters%5B3%5D=YXNjcmlwdDpjbG9zZSgpOyI%2BIHwgPC9hPiI7fQ%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Ramojwar</dc:creator>
  <cp:keywords/>
  <dc:description/>
  <cp:lastModifiedBy>Madhura Ramojwar</cp:lastModifiedBy>
  <cp:revision>2</cp:revision>
  <dcterms:created xsi:type="dcterms:W3CDTF">2021-04-26T09:42:00Z</dcterms:created>
  <dcterms:modified xsi:type="dcterms:W3CDTF">2021-04-26T09:42:00Z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5591f2-6b23-403d-aa5f-b6d577f5e572_Enabled">
    <vt:lpwstr>true</vt:lpwstr>
  </property>
  <property fmtid="{D5CDD505-2E9C-101B-9397-08002B2CF9AE}" pid="3" name="MSIP_Label_4b5591f2-6b23-403d-aa5f-b6d577f5e572_SetDate">
    <vt:lpwstr>2021-04-15T04:27:06Z</vt:lpwstr>
  </property>
  <property fmtid="{D5CDD505-2E9C-101B-9397-08002B2CF9AE}" pid="4" name="MSIP_Label_4b5591f2-6b23-403d-aa5f-b6d577f5e572_Method">
    <vt:lpwstr>Standard</vt:lpwstr>
  </property>
  <property fmtid="{D5CDD505-2E9C-101B-9397-08002B2CF9AE}" pid="5" name="MSIP_Label_4b5591f2-6b23-403d-aa5f-b6d577f5e572_Name">
    <vt:lpwstr>4b5591f2-6b23-403d-aa5f-b6d577f5e572</vt:lpwstr>
  </property>
  <property fmtid="{D5CDD505-2E9C-101B-9397-08002B2CF9AE}" pid="6" name="MSIP_Label_4b5591f2-6b23-403d-aa5f-b6d577f5e572_SiteId">
    <vt:lpwstr>311b3378-8e8a-4b5e-a33f-e80a3d8ba60a</vt:lpwstr>
  </property>
  <property fmtid="{D5CDD505-2E9C-101B-9397-08002B2CF9AE}" pid="7" name="MSIP_Label_4b5591f2-6b23-403d-aa5f-b6d577f5e572_ActionId">
    <vt:lpwstr>977ba781-beb0-4bc8-8800-0000c1958b31</vt:lpwstr>
  </property>
  <property fmtid="{D5CDD505-2E9C-101B-9397-08002B2CF9AE}" pid="8" name="MSIP_Label_4b5591f2-6b23-403d-aa5f-b6d577f5e572_ContentBits">
    <vt:lpwstr>0</vt:lpwstr>
  </property>
</Properties>
</file>