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A43" w:rsidRPr="0098324A" w:rsidRDefault="00711A43" w:rsidP="00711A43">
      <w:pPr>
        <w:shd w:val="clear" w:color="auto" w:fill="FFFFFF"/>
        <w:spacing w:after="0" w:line="240" w:lineRule="auto"/>
        <w:jc w:val="center"/>
        <w:textAlignment w:val="baseline"/>
        <w:outlineLvl w:val="0"/>
        <w:rPr>
          <w:rFonts w:eastAsia="Times New Roman" w:cstheme="minorHAnsi"/>
          <w:b/>
          <w:bCs/>
          <w:sz w:val="28"/>
          <w:szCs w:val="24"/>
          <w:bdr w:val="none" w:sz="0" w:space="0" w:color="auto" w:frame="1"/>
          <w:lang w:eastAsia="en-IN"/>
        </w:rPr>
      </w:pPr>
      <w:r w:rsidRPr="0098324A">
        <w:rPr>
          <w:rFonts w:eastAsia="Times New Roman" w:cstheme="minorHAnsi"/>
          <w:b/>
          <w:bCs/>
          <w:kern w:val="36"/>
          <w:sz w:val="28"/>
          <w:szCs w:val="24"/>
          <w:lang w:eastAsia="en-IN"/>
        </w:rPr>
        <w:t xml:space="preserve">AAMI TIR57 </w:t>
      </w:r>
      <w:r w:rsidRPr="0098324A">
        <w:rPr>
          <w:rFonts w:eastAsia="Times New Roman" w:cstheme="minorHAnsi"/>
          <w:b/>
          <w:bCs/>
          <w:sz w:val="28"/>
          <w:szCs w:val="24"/>
          <w:bdr w:val="none" w:sz="0" w:space="0" w:color="auto" w:frame="1"/>
          <w:lang w:eastAsia="en-IN"/>
        </w:rPr>
        <w:t>Technical Information Report</w:t>
      </w:r>
      <w:bookmarkStart w:id="0" w:name="_GoBack"/>
      <w:bookmarkEnd w:id="0"/>
    </w:p>
    <w:p w:rsidR="00711A43" w:rsidRPr="002F2DD6" w:rsidRDefault="00711A43" w:rsidP="00711A43">
      <w:pPr>
        <w:shd w:val="clear" w:color="auto" w:fill="FFFFFF"/>
        <w:spacing w:after="0" w:line="240" w:lineRule="auto"/>
        <w:jc w:val="center"/>
        <w:textAlignment w:val="baseline"/>
        <w:outlineLvl w:val="0"/>
        <w:rPr>
          <w:rFonts w:eastAsia="Times New Roman" w:cstheme="minorHAnsi"/>
          <w:b/>
          <w:bCs/>
          <w:sz w:val="24"/>
          <w:szCs w:val="24"/>
          <w:bdr w:val="none" w:sz="0" w:space="0" w:color="auto" w:frame="1"/>
          <w:lang w:eastAsia="en-IN"/>
        </w:rPr>
      </w:pPr>
    </w:p>
    <w:p w:rsidR="00711A43" w:rsidRPr="002F2DD6" w:rsidRDefault="00711A43" w:rsidP="00711A43">
      <w:pPr>
        <w:shd w:val="clear" w:color="auto" w:fill="FFFFFF"/>
        <w:spacing w:after="0" w:line="240" w:lineRule="auto"/>
        <w:textAlignment w:val="baseline"/>
        <w:outlineLvl w:val="0"/>
        <w:rPr>
          <w:rFonts w:eastAsia="Times New Roman" w:cstheme="minorHAnsi"/>
          <w:b/>
          <w:bCs/>
          <w:sz w:val="24"/>
          <w:szCs w:val="24"/>
          <w:bdr w:val="none" w:sz="0" w:space="0" w:color="auto" w:frame="1"/>
          <w:lang w:eastAsia="en-IN"/>
        </w:rPr>
      </w:pPr>
      <w:r w:rsidRPr="002F2DD6">
        <w:rPr>
          <w:rFonts w:eastAsia="Times New Roman" w:cstheme="minorHAnsi"/>
          <w:b/>
          <w:bCs/>
          <w:sz w:val="24"/>
          <w:szCs w:val="24"/>
          <w:bdr w:val="none" w:sz="0" w:space="0" w:color="auto" w:frame="1"/>
          <w:lang w:eastAsia="en-IN"/>
        </w:rPr>
        <w:t xml:space="preserve">AAMI (Association for the Advancement of Medical Instrumentation) </w:t>
      </w:r>
    </w:p>
    <w:p w:rsidR="00711A43" w:rsidRPr="002F2DD6" w:rsidRDefault="00711A43" w:rsidP="00711A43">
      <w:pPr>
        <w:pStyle w:val="Heading5"/>
        <w:shd w:val="clear" w:color="auto" w:fill="FFFFFF"/>
        <w:spacing w:before="0"/>
        <w:textAlignment w:val="baseline"/>
        <w:rPr>
          <w:rFonts w:asciiTheme="minorHAnsi" w:eastAsia="Times New Roman" w:hAnsiTheme="minorHAnsi" w:cstheme="minorHAnsi"/>
          <w:b/>
          <w:bCs/>
          <w:color w:val="auto"/>
          <w:kern w:val="36"/>
          <w:sz w:val="24"/>
          <w:szCs w:val="24"/>
          <w:lang w:eastAsia="en-IN"/>
        </w:rPr>
      </w:pPr>
    </w:p>
    <w:p w:rsidR="00711A43" w:rsidRPr="002F2DD6" w:rsidRDefault="00711A43" w:rsidP="00711A43">
      <w:pPr>
        <w:pStyle w:val="Heading5"/>
        <w:numPr>
          <w:ilvl w:val="0"/>
          <w:numId w:val="1"/>
        </w:numPr>
        <w:shd w:val="clear" w:color="auto" w:fill="FFFFFF"/>
        <w:spacing w:before="0"/>
        <w:textAlignment w:val="baseline"/>
        <w:rPr>
          <w:rFonts w:asciiTheme="minorHAnsi" w:hAnsiTheme="minorHAnsi" w:cstheme="minorHAnsi"/>
          <w:b/>
          <w:color w:val="auto"/>
          <w:sz w:val="24"/>
          <w:szCs w:val="24"/>
        </w:rPr>
      </w:pPr>
      <w:r w:rsidRPr="002F2DD6">
        <w:rPr>
          <w:rFonts w:asciiTheme="minorHAnsi" w:hAnsiTheme="minorHAnsi" w:cstheme="minorHAnsi"/>
          <w:b/>
          <w:color w:val="auto"/>
          <w:sz w:val="24"/>
          <w:szCs w:val="24"/>
        </w:rPr>
        <w:t>Scope:</w:t>
      </w:r>
    </w:p>
    <w:p w:rsidR="002F2DD6" w:rsidRPr="002F2DD6" w:rsidRDefault="00711A43" w:rsidP="002F2DD6">
      <w:pPr>
        <w:pStyle w:val="NormalWeb"/>
        <w:shd w:val="clear" w:color="auto" w:fill="FFFFFF"/>
        <w:spacing w:before="0" w:beforeAutospacing="0" w:after="360" w:afterAutospacing="0" w:line="300" w:lineRule="atLeast"/>
        <w:ind w:left="720"/>
        <w:textAlignment w:val="baseline"/>
        <w:rPr>
          <w:rFonts w:asciiTheme="minorHAnsi" w:hAnsiTheme="minorHAnsi" w:cstheme="minorHAnsi"/>
        </w:rPr>
      </w:pPr>
      <w:r w:rsidRPr="002F2DD6">
        <w:rPr>
          <w:rFonts w:asciiTheme="minorHAnsi" w:hAnsiTheme="minorHAnsi" w:cstheme="minorHAnsi"/>
        </w:rPr>
        <w:t>This TIR provides guidance for addressing information security within the risk management framework defined by ANSI/AAMI/ISO 14971.</w:t>
      </w:r>
    </w:p>
    <w:p w:rsidR="002F2DD6" w:rsidRPr="002F2DD6" w:rsidRDefault="002F2DD6" w:rsidP="002F2DD6">
      <w:pPr>
        <w:pStyle w:val="NormalWeb"/>
        <w:numPr>
          <w:ilvl w:val="0"/>
          <w:numId w:val="1"/>
        </w:numPr>
        <w:shd w:val="clear" w:color="auto" w:fill="FFFFFF"/>
        <w:spacing w:before="0" w:beforeAutospacing="0" w:after="360" w:afterAutospacing="0" w:line="300" w:lineRule="atLeast"/>
        <w:textAlignment w:val="baseline"/>
        <w:rPr>
          <w:rFonts w:asciiTheme="minorHAnsi" w:hAnsiTheme="minorHAnsi" w:cstheme="minorHAnsi"/>
        </w:rPr>
      </w:pPr>
      <w:r w:rsidRPr="002F2DD6">
        <w:rPr>
          <w:rFonts w:asciiTheme="minorHAnsi" w:hAnsiTheme="minorHAnsi" w:cstheme="minorHAnsi"/>
          <w:shd w:val="clear" w:color="auto" w:fill="FEFEFE"/>
        </w:rPr>
        <w:t>The TIR57 guidance is thus based on ISO 14971, but the focus is on threat analyses.</w:t>
      </w:r>
    </w:p>
    <w:p w:rsidR="00711A43" w:rsidRPr="002F2DD6" w:rsidRDefault="00711A43" w:rsidP="00711A43">
      <w:pPr>
        <w:pStyle w:val="NormalWeb"/>
        <w:numPr>
          <w:ilvl w:val="0"/>
          <w:numId w:val="1"/>
        </w:numPr>
        <w:shd w:val="clear" w:color="auto" w:fill="FFFFFF"/>
        <w:spacing w:before="0" w:beforeAutospacing="0" w:after="360" w:afterAutospacing="0" w:line="300" w:lineRule="atLeast"/>
        <w:textAlignment w:val="baseline"/>
        <w:rPr>
          <w:rFonts w:asciiTheme="minorHAnsi" w:hAnsiTheme="minorHAnsi" w:cstheme="minorHAnsi"/>
        </w:rPr>
      </w:pPr>
      <w:r w:rsidRPr="002F2DD6">
        <w:rPr>
          <w:rFonts w:asciiTheme="minorHAnsi" w:hAnsiTheme="minorHAnsi" w:cstheme="minorHAnsi"/>
        </w:rPr>
        <w:t>This guidance is intended to assist manufacturers and other users of the standard in the following:</w:t>
      </w:r>
    </w:p>
    <w:p w:rsidR="00711A43" w:rsidRPr="002F2DD6" w:rsidRDefault="00711A43" w:rsidP="00711A43">
      <w:pPr>
        <w:pStyle w:val="NormalWeb"/>
        <w:shd w:val="clear" w:color="auto" w:fill="FFFFFF"/>
        <w:spacing w:before="0" w:beforeAutospacing="0" w:after="360" w:afterAutospacing="0" w:line="300" w:lineRule="atLeast"/>
        <w:ind w:left="720"/>
        <w:textAlignment w:val="baseline"/>
        <w:rPr>
          <w:rFonts w:asciiTheme="minorHAnsi" w:hAnsiTheme="minorHAnsi" w:cstheme="minorHAnsi"/>
        </w:rPr>
      </w:pPr>
      <w:r w:rsidRPr="002F2DD6">
        <w:rPr>
          <w:rFonts w:asciiTheme="minorHAnsi" w:hAnsiTheme="minorHAnsi" w:cstheme="minorHAnsi"/>
        </w:rPr>
        <w:t>- identifying threats, vulnerabilities, and assets associated with medical devices;</w:t>
      </w:r>
    </w:p>
    <w:p w:rsidR="00711A43" w:rsidRPr="002F2DD6" w:rsidRDefault="00711A43" w:rsidP="00711A43">
      <w:pPr>
        <w:pStyle w:val="NormalWeb"/>
        <w:shd w:val="clear" w:color="auto" w:fill="FFFFFF"/>
        <w:spacing w:before="0" w:beforeAutospacing="0" w:after="360" w:afterAutospacing="0" w:line="300" w:lineRule="atLeast"/>
        <w:ind w:left="720"/>
        <w:textAlignment w:val="baseline"/>
        <w:rPr>
          <w:rFonts w:asciiTheme="minorHAnsi" w:hAnsiTheme="minorHAnsi" w:cstheme="minorHAnsi"/>
        </w:rPr>
      </w:pPr>
      <w:r w:rsidRPr="002F2DD6">
        <w:rPr>
          <w:rFonts w:asciiTheme="minorHAnsi" w:hAnsiTheme="minorHAnsi" w:cstheme="minorHAnsi"/>
        </w:rPr>
        <w:t>- estimating and evaluating associated security risks;</w:t>
      </w:r>
    </w:p>
    <w:p w:rsidR="00711A43" w:rsidRPr="002F2DD6" w:rsidRDefault="00711A43" w:rsidP="00711A43">
      <w:pPr>
        <w:pStyle w:val="NormalWeb"/>
        <w:shd w:val="clear" w:color="auto" w:fill="FFFFFF"/>
        <w:spacing w:before="0" w:beforeAutospacing="0" w:after="360" w:afterAutospacing="0" w:line="300" w:lineRule="atLeast"/>
        <w:ind w:left="720"/>
        <w:textAlignment w:val="baseline"/>
        <w:rPr>
          <w:rFonts w:asciiTheme="minorHAnsi" w:hAnsiTheme="minorHAnsi" w:cstheme="minorHAnsi"/>
        </w:rPr>
      </w:pPr>
      <w:r w:rsidRPr="002F2DD6">
        <w:rPr>
          <w:rFonts w:asciiTheme="minorHAnsi" w:hAnsiTheme="minorHAnsi" w:cstheme="minorHAnsi"/>
        </w:rPr>
        <w:t>- controlling security risks; and</w:t>
      </w:r>
    </w:p>
    <w:p w:rsidR="00711A43" w:rsidRPr="002F2DD6" w:rsidRDefault="00711A43" w:rsidP="00711A43">
      <w:pPr>
        <w:pStyle w:val="NormalWeb"/>
        <w:shd w:val="clear" w:color="auto" w:fill="FFFFFF"/>
        <w:spacing w:before="0" w:beforeAutospacing="0" w:after="360" w:afterAutospacing="0" w:line="300" w:lineRule="atLeast"/>
        <w:ind w:left="720"/>
        <w:textAlignment w:val="baseline"/>
        <w:rPr>
          <w:rFonts w:asciiTheme="minorHAnsi" w:hAnsiTheme="minorHAnsi" w:cstheme="minorHAnsi"/>
        </w:rPr>
      </w:pPr>
      <w:r w:rsidRPr="002F2DD6">
        <w:rPr>
          <w:rFonts w:asciiTheme="minorHAnsi" w:hAnsiTheme="minorHAnsi" w:cstheme="minorHAnsi"/>
        </w:rPr>
        <w:t>- monitoring effectiveness of the risk controls.</w:t>
      </w:r>
    </w:p>
    <w:p w:rsidR="00711A43" w:rsidRPr="002F2DD6" w:rsidRDefault="00711A43" w:rsidP="00711A43">
      <w:pPr>
        <w:pStyle w:val="NormalWeb"/>
        <w:numPr>
          <w:ilvl w:val="0"/>
          <w:numId w:val="1"/>
        </w:numPr>
        <w:shd w:val="clear" w:color="auto" w:fill="FFFFFF"/>
        <w:spacing w:before="0" w:beforeAutospacing="0" w:after="360" w:afterAutospacing="0" w:line="300" w:lineRule="atLeast"/>
        <w:textAlignment w:val="baseline"/>
        <w:rPr>
          <w:rFonts w:asciiTheme="minorHAnsi" w:hAnsiTheme="minorHAnsi" w:cstheme="minorHAnsi"/>
        </w:rPr>
      </w:pPr>
      <w:r w:rsidRPr="002F2DD6">
        <w:rPr>
          <w:rFonts w:asciiTheme="minorHAnsi" w:hAnsiTheme="minorHAnsi" w:cstheme="minorHAnsi"/>
          <w:shd w:val="clear" w:color="auto" w:fill="FFFFFF"/>
        </w:rPr>
        <w:t>The guidance provided by this document is applicable to all stages of the life-cycle of a medical device.</w:t>
      </w:r>
    </w:p>
    <w:p w:rsidR="00711A43" w:rsidRPr="002F2DD6" w:rsidRDefault="002F2DD6" w:rsidP="00711A43">
      <w:pPr>
        <w:pStyle w:val="NormalWeb"/>
        <w:numPr>
          <w:ilvl w:val="0"/>
          <w:numId w:val="1"/>
        </w:numPr>
        <w:shd w:val="clear" w:color="auto" w:fill="FFFFFF"/>
        <w:spacing w:before="0" w:beforeAutospacing="0" w:after="360" w:afterAutospacing="0" w:line="300" w:lineRule="atLeast"/>
        <w:textAlignment w:val="baseline"/>
        <w:rPr>
          <w:rFonts w:asciiTheme="minorHAnsi" w:hAnsiTheme="minorHAnsi" w:cstheme="minorHAnsi"/>
        </w:rPr>
      </w:pPr>
      <w:proofErr w:type="gramStart"/>
      <w:r w:rsidRPr="002F2DD6">
        <w:rPr>
          <w:rFonts w:asciiTheme="minorHAnsi" w:hAnsiTheme="minorHAnsi" w:cstheme="minorHAnsi"/>
          <w:shd w:val="clear" w:color="auto" w:fill="FFFFFF"/>
        </w:rPr>
        <w:t>it</w:t>
      </w:r>
      <w:proofErr w:type="gramEnd"/>
      <w:r w:rsidRPr="002F2DD6">
        <w:rPr>
          <w:rFonts w:asciiTheme="minorHAnsi" w:hAnsiTheme="minorHAnsi" w:cstheme="minorHAnsi"/>
          <w:shd w:val="clear" w:color="auto" w:fill="FFFFFF"/>
        </w:rPr>
        <w:t xml:space="preserve"> provides a list of steps for how to identify and evaluate threats and vulnerabilities, control security risks, and monitor the efficacy of these controls.</w:t>
      </w:r>
    </w:p>
    <w:p w:rsidR="002F2DD6" w:rsidRPr="002F2DD6" w:rsidRDefault="002F2DD6" w:rsidP="00711A43">
      <w:pPr>
        <w:pStyle w:val="NormalWeb"/>
        <w:numPr>
          <w:ilvl w:val="0"/>
          <w:numId w:val="1"/>
        </w:numPr>
        <w:shd w:val="clear" w:color="auto" w:fill="FFFFFF"/>
        <w:spacing w:before="0" w:beforeAutospacing="0" w:after="360" w:afterAutospacing="0" w:line="300" w:lineRule="atLeast"/>
        <w:textAlignment w:val="baseline"/>
        <w:rPr>
          <w:rFonts w:asciiTheme="minorHAnsi" w:hAnsiTheme="minorHAnsi" w:cstheme="minorHAnsi"/>
        </w:rPr>
      </w:pPr>
      <w:r w:rsidRPr="002F2DD6">
        <w:rPr>
          <w:rFonts w:asciiTheme="minorHAnsi" w:hAnsiTheme="minorHAnsi" w:cstheme="minorHAnsi"/>
          <w:shd w:val="clear" w:color="auto" w:fill="FFFFFF"/>
        </w:rPr>
        <w:t>TIR57 highly focuses on cyber risks.</w:t>
      </w:r>
    </w:p>
    <w:p w:rsidR="002F2DD6" w:rsidRPr="002F2DD6" w:rsidRDefault="002F2DD6" w:rsidP="002F2DD6">
      <w:pPr>
        <w:pStyle w:val="Heading4"/>
        <w:shd w:val="clear" w:color="auto" w:fill="FFFFFF"/>
        <w:spacing w:before="150" w:after="150"/>
        <w:rPr>
          <w:rFonts w:asciiTheme="minorHAnsi" w:hAnsiTheme="minorHAnsi" w:cstheme="minorHAnsi"/>
          <w:b/>
          <w:i w:val="0"/>
          <w:color w:val="auto"/>
          <w:sz w:val="28"/>
          <w:szCs w:val="24"/>
        </w:rPr>
      </w:pPr>
      <w:r w:rsidRPr="002F2DD6">
        <w:rPr>
          <w:rFonts w:asciiTheme="minorHAnsi" w:hAnsiTheme="minorHAnsi" w:cstheme="minorHAnsi"/>
          <w:b/>
          <w:i w:val="0"/>
          <w:color w:val="auto"/>
          <w:sz w:val="28"/>
          <w:szCs w:val="24"/>
        </w:rPr>
        <w:t>Structure of AAMI TIR57:2016</w:t>
      </w:r>
    </w:p>
    <w:p w:rsidR="002F2DD6" w:rsidRPr="002F2DD6" w:rsidRDefault="002F2DD6" w:rsidP="002F2DD6">
      <w:pPr>
        <w:pStyle w:val="NormalWeb"/>
        <w:shd w:val="clear" w:color="auto" w:fill="FFFFFF"/>
        <w:spacing w:before="0" w:beforeAutospacing="0" w:after="150" w:afterAutospacing="0"/>
        <w:rPr>
          <w:rFonts w:asciiTheme="minorHAnsi" w:hAnsiTheme="minorHAnsi" w:cstheme="minorHAnsi"/>
        </w:rPr>
      </w:pPr>
      <w:r w:rsidRPr="002F2DD6">
        <w:rPr>
          <w:rFonts w:asciiTheme="minorHAnsi" w:hAnsiTheme="minorHAnsi" w:cstheme="minorHAnsi"/>
        </w:rPr>
        <w:t xml:space="preserve">The structure of sections 3 to 9 of this document is copied from ISO 14971 standard. It shows how the security risk management process can be </w:t>
      </w:r>
      <w:proofErr w:type="spellStart"/>
      <w:r w:rsidRPr="002F2DD6">
        <w:rPr>
          <w:rFonts w:asciiTheme="minorHAnsi" w:hAnsiTheme="minorHAnsi" w:cstheme="minorHAnsi"/>
        </w:rPr>
        <w:t>modeled</w:t>
      </w:r>
      <w:proofErr w:type="spellEnd"/>
      <w:r w:rsidRPr="002F2DD6">
        <w:rPr>
          <w:rFonts w:asciiTheme="minorHAnsi" w:hAnsiTheme="minorHAnsi" w:cstheme="minorHAnsi"/>
        </w:rPr>
        <w:t xml:space="preserve"> in a manner similar to the safety risk management process.</w:t>
      </w:r>
      <w:r w:rsidRPr="002F2DD6">
        <w:rPr>
          <w:rFonts w:asciiTheme="minorHAnsi" w:hAnsiTheme="minorHAnsi" w:cstheme="minorHAnsi"/>
        </w:rPr>
        <w:br/>
        <w:t>If you’re at ease with ISO 14971, you’ll be at ease with AAMI TIR57. Your effort of understanding will be focused on security risk management concepts, not the process (risk identification, evaluation, mitigation and so on…) that you already know.</w:t>
      </w:r>
      <w:r w:rsidRPr="002F2DD6">
        <w:rPr>
          <w:rFonts w:asciiTheme="minorHAnsi" w:hAnsiTheme="minorHAnsi" w:cstheme="minorHAnsi"/>
        </w:rPr>
        <w:br/>
        <w:t>We can bless the working group in charge of this TIR for this effort of presentation. The diagram below, extracted from the TIR, shows the analogy between both processes.</w:t>
      </w:r>
    </w:p>
    <w:p w:rsidR="002F2DD6" w:rsidRPr="002F2DD6" w:rsidRDefault="002F2DD6" w:rsidP="002F2DD6">
      <w:pPr>
        <w:pStyle w:val="NormalWeb"/>
        <w:shd w:val="clear" w:color="auto" w:fill="FFFFFF"/>
        <w:spacing w:before="0" w:beforeAutospacing="0" w:after="360" w:afterAutospacing="0" w:line="300" w:lineRule="atLeast"/>
        <w:textAlignment w:val="baseline"/>
        <w:rPr>
          <w:rFonts w:asciiTheme="minorHAnsi" w:hAnsiTheme="minorHAnsi" w:cstheme="minorHAnsi"/>
          <w:shd w:val="clear" w:color="auto" w:fill="FFFFFF"/>
        </w:rPr>
      </w:pPr>
    </w:p>
    <w:p w:rsidR="002F2DD6" w:rsidRPr="002F2DD6" w:rsidRDefault="002F2DD6" w:rsidP="002F2DD6">
      <w:pPr>
        <w:pStyle w:val="NormalWeb"/>
        <w:shd w:val="clear" w:color="auto" w:fill="FFFFFF"/>
        <w:spacing w:before="0" w:beforeAutospacing="0" w:after="360" w:afterAutospacing="0" w:line="300" w:lineRule="atLeast"/>
        <w:textAlignment w:val="baseline"/>
        <w:rPr>
          <w:rFonts w:asciiTheme="minorHAnsi" w:hAnsiTheme="minorHAnsi" w:cstheme="minorHAnsi"/>
          <w:shd w:val="clear" w:color="auto" w:fill="FFFFFF"/>
        </w:rPr>
      </w:pPr>
      <w:r w:rsidRPr="002F2DD6">
        <w:rPr>
          <w:rFonts w:asciiTheme="minorHAnsi" w:hAnsiTheme="minorHAnsi" w:cstheme="minorHAnsi"/>
          <w:noProof/>
        </w:rPr>
        <w:lastRenderedPageBreak/>
        <w:drawing>
          <wp:inline distT="0" distB="0" distL="0" distR="0" wp14:anchorId="4280A106" wp14:editId="5BAE3A9F">
            <wp:extent cx="5731510" cy="4088320"/>
            <wp:effectExtent l="0" t="0" r="2540" b="7620"/>
            <wp:docPr id="1" name="Picture 1" descr="Relationships between the security risk and safety risk management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onships between the security risk and safety risk management process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88320"/>
                    </a:xfrm>
                    <a:prstGeom prst="rect">
                      <a:avLst/>
                    </a:prstGeom>
                    <a:noFill/>
                    <a:ln>
                      <a:noFill/>
                    </a:ln>
                  </pic:spPr>
                </pic:pic>
              </a:graphicData>
            </a:graphic>
          </wp:inline>
        </w:drawing>
      </w:r>
    </w:p>
    <w:p w:rsidR="00E94292" w:rsidRPr="00E94292" w:rsidRDefault="00E94292" w:rsidP="00E94292">
      <w:pPr>
        <w:pStyle w:val="Heading4"/>
        <w:shd w:val="clear" w:color="auto" w:fill="FFFFFF"/>
        <w:spacing w:before="150" w:after="150"/>
        <w:rPr>
          <w:rFonts w:asciiTheme="minorHAnsi" w:hAnsiTheme="minorHAnsi" w:cstheme="minorHAnsi"/>
          <w:b/>
          <w:color w:val="auto"/>
          <w:sz w:val="28"/>
          <w:szCs w:val="24"/>
        </w:rPr>
      </w:pPr>
      <w:r w:rsidRPr="00E94292">
        <w:rPr>
          <w:rFonts w:asciiTheme="minorHAnsi" w:hAnsiTheme="minorHAnsi" w:cstheme="minorHAnsi"/>
          <w:b/>
          <w:color w:val="auto"/>
          <w:sz w:val="28"/>
          <w:szCs w:val="24"/>
        </w:rPr>
        <w:t>Annexes of AMMI TIR</w:t>
      </w:r>
      <w:r w:rsidRPr="00E94292">
        <w:rPr>
          <w:rFonts w:asciiTheme="minorHAnsi" w:hAnsiTheme="minorHAnsi" w:cstheme="minorHAnsi"/>
          <w:b/>
          <w:color w:val="auto"/>
          <w:sz w:val="28"/>
          <w:szCs w:val="24"/>
        </w:rPr>
        <w:t>: 57:2016</w:t>
      </w:r>
    </w:p>
    <w:p w:rsidR="00E94292" w:rsidRDefault="00E94292" w:rsidP="00E94292">
      <w:pPr>
        <w:pStyle w:val="NormalWeb"/>
        <w:numPr>
          <w:ilvl w:val="0"/>
          <w:numId w:val="2"/>
        </w:numPr>
        <w:shd w:val="clear" w:color="auto" w:fill="FFFFFF"/>
        <w:spacing w:before="0" w:beforeAutospacing="0" w:after="150" w:afterAutospacing="0"/>
        <w:rPr>
          <w:rFonts w:asciiTheme="minorHAnsi" w:hAnsiTheme="minorHAnsi" w:cstheme="minorHAnsi"/>
        </w:rPr>
      </w:pPr>
      <w:r w:rsidRPr="00E94292">
        <w:rPr>
          <w:rFonts w:asciiTheme="minorHAnsi" w:hAnsiTheme="minorHAnsi" w:cstheme="minorHAnsi"/>
        </w:rPr>
        <w:t xml:space="preserve">The annexes found after section 9 are another wealth of information. </w:t>
      </w:r>
    </w:p>
    <w:p w:rsidR="00E94292" w:rsidRDefault="00E94292" w:rsidP="00E94292">
      <w:pPr>
        <w:pStyle w:val="NormalWeb"/>
        <w:numPr>
          <w:ilvl w:val="0"/>
          <w:numId w:val="2"/>
        </w:numPr>
        <w:shd w:val="clear" w:color="auto" w:fill="FFFFFF"/>
        <w:spacing w:before="0" w:beforeAutospacing="0" w:after="150" w:afterAutospacing="0"/>
        <w:rPr>
          <w:rFonts w:asciiTheme="minorHAnsi" w:hAnsiTheme="minorHAnsi" w:cstheme="minorHAnsi"/>
        </w:rPr>
      </w:pPr>
      <w:r w:rsidRPr="00E94292">
        <w:rPr>
          <w:rFonts w:asciiTheme="minorHAnsi" w:hAnsiTheme="minorHAnsi" w:cstheme="minorHAnsi"/>
        </w:rPr>
        <w:t xml:space="preserve">They contain practical methods to implement a security risk management process. </w:t>
      </w:r>
    </w:p>
    <w:p w:rsidR="00E94292" w:rsidRPr="00E94292" w:rsidRDefault="00E94292" w:rsidP="00E94292">
      <w:pPr>
        <w:pStyle w:val="NormalWeb"/>
        <w:numPr>
          <w:ilvl w:val="0"/>
          <w:numId w:val="2"/>
        </w:numPr>
        <w:shd w:val="clear" w:color="auto" w:fill="FFFFFF"/>
        <w:spacing w:before="0" w:beforeAutospacing="0" w:after="150" w:afterAutospacing="0"/>
        <w:rPr>
          <w:rFonts w:asciiTheme="minorHAnsi" w:hAnsiTheme="minorHAnsi" w:cstheme="minorHAnsi"/>
        </w:rPr>
      </w:pPr>
      <w:r w:rsidRPr="00E94292">
        <w:rPr>
          <w:rFonts w:asciiTheme="minorHAnsi" w:hAnsiTheme="minorHAnsi" w:cstheme="minorHAnsi"/>
        </w:rPr>
        <w:t>There is even a list of questions that can be used to identify medical device security characteristics, like the annex C of ISO 14971 for safety risks!</w:t>
      </w:r>
    </w:p>
    <w:p w:rsidR="002F2DD6" w:rsidRPr="002F2DD6" w:rsidRDefault="002F2DD6" w:rsidP="002F2DD6">
      <w:pPr>
        <w:pStyle w:val="NormalWeb"/>
        <w:shd w:val="clear" w:color="auto" w:fill="FFFFFF"/>
        <w:spacing w:before="0" w:beforeAutospacing="0" w:after="360" w:afterAutospacing="0" w:line="300" w:lineRule="atLeast"/>
        <w:textAlignment w:val="baseline"/>
        <w:rPr>
          <w:rFonts w:asciiTheme="minorHAnsi" w:hAnsiTheme="minorHAnsi" w:cstheme="minorHAnsi"/>
          <w:shd w:val="clear" w:color="auto" w:fill="FFFFFF"/>
        </w:rPr>
      </w:pPr>
    </w:p>
    <w:p w:rsidR="002F2DD6" w:rsidRPr="002F2DD6" w:rsidRDefault="0098324A" w:rsidP="0098324A">
      <w:pPr>
        <w:pStyle w:val="NormalWeb"/>
        <w:shd w:val="clear" w:color="auto" w:fill="FFFFFF"/>
        <w:spacing w:before="0" w:beforeAutospacing="0" w:after="360" w:afterAutospacing="0" w:line="300" w:lineRule="atLeast"/>
        <w:jc w:val="center"/>
        <w:textAlignment w:val="baseline"/>
        <w:rPr>
          <w:rFonts w:asciiTheme="minorHAnsi" w:hAnsiTheme="minorHAnsi" w:cstheme="minorHAnsi"/>
          <w:shd w:val="clear" w:color="auto" w:fill="FFFFFF"/>
        </w:rPr>
      </w:pPr>
      <w:r w:rsidRPr="0098324A">
        <w:rPr>
          <w:rFonts w:asciiTheme="minorHAnsi" w:hAnsiTheme="minorHAnsi" w:cstheme="minorHAnsi"/>
          <w:shd w:val="clear" w:color="auto" w:fill="FFFFFF"/>
        </w:rPr>
        <w:lastRenderedPageBreak/>
        <w:drawing>
          <wp:inline distT="0" distB="0" distL="0" distR="0">
            <wp:extent cx="6425142" cy="4448175"/>
            <wp:effectExtent l="0" t="0" r="0" b="0"/>
            <wp:docPr id="2" name="Picture 2" descr="Relationship between Safety and Security Risk Management Processes: ISO 14971: Security Risk Analysis - Safety Risk Evaluation - Safety Risk Control - Safety Residual Risk - Safety Risk Management - Safety Production and Postproduction information; AAMI TIR 57: Safety Risk Analysis – Security Risk Evaluation - Security Risk Control - Security Residual Risk - Security Risk Management - Security Production and Postproduction information; Safety control affecting security; Security risk with potential safety impact; Safety control affecting saf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ionship between Safety and Security Risk Management Processes: ISO 14971: Security Risk Analysis - Safety Risk Evaluation - Safety Risk Control - Safety Residual Risk - Safety Risk Management - Safety Production and Postproduction information; AAMI TIR 57: Safety Risk Analysis – Security Risk Evaluation - Security Risk Control - Security Residual Risk - Security Risk Management - Security Production and Postproduction information; Safety control affecting security; Security risk with potential safety impact; Safety control affecting safe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28741" cy="4450667"/>
                    </a:xfrm>
                    <a:prstGeom prst="rect">
                      <a:avLst/>
                    </a:prstGeom>
                    <a:noFill/>
                    <a:ln>
                      <a:noFill/>
                    </a:ln>
                  </pic:spPr>
                </pic:pic>
              </a:graphicData>
            </a:graphic>
          </wp:inline>
        </w:drawing>
      </w:r>
    </w:p>
    <w:p w:rsidR="0098324A" w:rsidRPr="0098324A" w:rsidRDefault="0098324A" w:rsidP="0098324A">
      <w:pPr>
        <w:shd w:val="clear" w:color="auto" w:fill="FFFFFF"/>
        <w:spacing w:after="360" w:line="240" w:lineRule="auto"/>
        <w:rPr>
          <w:rFonts w:eastAsia="Times New Roman" w:cstheme="minorHAnsi"/>
          <w:sz w:val="24"/>
          <w:szCs w:val="27"/>
          <w:lang w:eastAsia="en-IN"/>
        </w:rPr>
      </w:pPr>
      <w:r w:rsidRPr="0098324A">
        <w:rPr>
          <w:rFonts w:eastAsia="Times New Roman" w:cstheme="minorHAnsi"/>
          <w:sz w:val="24"/>
          <w:szCs w:val="27"/>
          <w:lang w:eastAsia="en-IN"/>
        </w:rPr>
        <w:t>For example:</w:t>
      </w:r>
    </w:p>
    <w:p w:rsidR="0098324A" w:rsidRPr="0098324A" w:rsidRDefault="0098324A" w:rsidP="0098324A">
      <w:pPr>
        <w:shd w:val="clear" w:color="auto" w:fill="FFFFFF"/>
        <w:spacing w:after="360" w:line="240" w:lineRule="auto"/>
        <w:rPr>
          <w:rFonts w:eastAsia="Times New Roman" w:cstheme="minorHAnsi"/>
          <w:sz w:val="24"/>
          <w:szCs w:val="27"/>
          <w:lang w:eastAsia="en-IN"/>
        </w:rPr>
      </w:pPr>
      <w:r w:rsidRPr="0098324A">
        <w:rPr>
          <w:rFonts w:eastAsia="Times New Roman" w:cstheme="minorHAnsi"/>
          <w:sz w:val="24"/>
          <w:szCs w:val="27"/>
          <w:lang w:eastAsia="en-IN"/>
        </w:rPr>
        <w:t xml:space="preserve">If an attacker gains unauthorized access to a hospital network, it is a security problem. </w:t>
      </w:r>
    </w:p>
    <w:p w:rsidR="0098324A" w:rsidRPr="0098324A" w:rsidRDefault="0098324A" w:rsidP="0098324A">
      <w:pPr>
        <w:shd w:val="clear" w:color="auto" w:fill="FFFFFF"/>
        <w:spacing w:after="360" w:line="240" w:lineRule="auto"/>
        <w:rPr>
          <w:rFonts w:eastAsia="Times New Roman" w:cstheme="minorHAnsi"/>
          <w:sz w:val="24"/>
          <w:szCs w:val="27"/>
          <w:lang w:eastAsia="en-IN"/>
        </w:rPr>
      </w:pPr>
      <w:r w:rsidRPr="0098324A">
        <w:rPr>
          <w:rFonts w:eastAsia="Times New Roman" w:cstheme="minorHAnsi"/>
          <w:sz w:val="24"/>
          <w:szCs w:val="27"/>
          <w:lang w:eastAsia="en-IN"/>
        </w:rPr>
        <w:t>If the attacker then influences a networked insulin pump and changes the release of the drug, the security problem becomes a safety problem.</w:t>
      </w:r>
    </w:p>
    <w:p w:rsidR="0098324A" w:rsidRPr="0098324A" w:rsidRDefault="0098324A" w:rsidP="0098324A">
      <w:pPr>
        <w:shd w:val="clear" w:color="auto" w:fill="FFFFFF"/>
        <w:spacing w:after="360" w:line="240" w:lineRule="auto"/>
        <w:rPr>
          <w:rFonts w:eastAsia="Times New Roman" w:cstheme="minorHAnsi"/>
          <w:sz w:val="24"/>
          <w:szCs w:val="27"/>
          <w:lang w:eastAsia="en-IN"/>
        </w:rPr>
      </w:pPr>
      <w:r w:rsidRPr="0098324A">
        <w:rPr>
          <w:rFonts w:eastAsia="Times New Roman" w:cstheme="minorHAnsi"/>
          <w:sz w:val="24"/>
          <w:szCs w:val="27"/>
          <w:lang w:eastAsia="en-IN"/>
        </w:rPr>
        <w:t>Here are two examples:</w:t>
      </w:r>
    </w:p>
    <w:p w:rsidR="0098324A" w:rsidRPr="0098324A" w:rsidRDefault="0098324A" w:rsidP="0098324A">
      <w:pPr>
        <w:numPr>
          <w:ilvl w:val="0"/>
          <w:numId w:val="3"/>
        </w:numPr>
        <w:shd w:val="clear" w:color="auto" w:fill="FFFFFF"/>
        <w:spacing w:before="100" w:beforeAutospacing="1" w:after="100" w:afterAutospacing="1" w:line="240" w:lineRule="auto"/>
        <w:rPr>
          <w:rFonts w:eastAsia="Times New Roman" w:cstheme="minorHAnsi"/>
          <w:sz w:val="24"/>
          <w:szCs w:val="27"/>
          <w:lang w:eastAsia="en-IN"/>
        </w:rPr>
      </w:pPr>
      <w:r w:rsidRPr="0098324A">
        <w:rPr>
          <w:rFonts w:eastAsia="Times New Roman" w:cstheme="minorHAnsi"/>
          <w:sz w:val="24"/>
          <w:szCs w:val="27"/>
          <w:lang w:eastAsia="en-IN"/>
        </w:rPr>
        <w:t>First, a networked infusion pump receives regular software updates as a safety measure. The internal drug library delivers default dosage information to the pump. However, an attacker could gain access to the drug library and change the dosage information. Here, a safety risk control impacts the security risk analysis.</w:t>
      </w:r>
    </w:p>
    <w:p w:rsidR="0098324A" w:rsidRPr="0098324A" w:rsidRDefault="0098324A" w:rsidP="0098324A">
      <w:pPr>
        <w:numPr>
          <w:ilvl w:val="0"/>
          <w:numId w:val="3"/>
        </w:numPr>
        <w:shd w:val="clear" w:color="auto" w:fill="FFFFFF"/>
        <w:spacing w:before="100" w:beforeAutospacing="1" w:after="100" w:afterAutospacing="1" w:line="240" w:lineRule="auto"/>
        <w:rPr>
          <w:rFonts w:eastAsia="Times New Roman" w:cstheme="minorHAnsi"/>
          <w:sz w:val="24"/>
          <w:szCs w:val="27"/>
          <w:lang w:eastAsia="en-IN"/>
        </w:rPr>
      </w:pPr>
      <w:r w:rsidRPr="0098324A">
        <w:rPr>
          <w:rFonts w:eastAsia="Times New Roman" w:cstheme="minorHAnsi"/>
          <w:sz w:val="24"/>
          <w:szCs w:val="27"/>
          <w:lang w:eastAsia="en-IN"/>
        </w:rPr>
        <w:t>Second, an intensive care unit uses ventilators. For security reasons, a doctor or a nurse can use a ventilator only if they enter a user name and a password. But what happens in an emergency situation when user name and password are lost? Here, a security risk control obviously affects the safety risk analysis.</w:t>
      </w:r>
    </w:p>
    <w:p w:rsidR="0098324A" w:rsidRDefault="0098324A" w:rsidP="002F2DD6">
      <w:pPr>
        <w:pStyle w:val="NormalWeb"/>
        <w:shd w:val="clear" w:color="auto" w:fill="FFFFFF"/>
        <w:spacing w:before="0" w:beforeAutospacing="0" w:after="360" w:afterAutospacing="0" w:line="300" w:lineRule="atLeast"/>
        <w:textAlignment w:val="baseline"/>
        <w:rPr>
          <w:rFonts w:asciiTheme="minorHAnsi" w:hAnsiTheme="minorHAnsi" w:cstheme="minorHAnsi"/>
          <w:shd w:val="clear" w:color="auto" w:fill="FFFFFF"/>
        </w:rPr>
      </w:pPr>
    </w:p>
    <w:p w:rsidR="002F2DD6" w:rsidRPr="002F2DD6" w:rsidRDefault="002F2DD6" w:rsidP="002F2DD6">
      <w:pPr>
        <w:pStyle w:val="NormalWeb"/>
        <w:shd w:val="clear" w:color="auto" w:fill="FFFFFF"/>
        <w:spacing w:before="0" w:beforeAutospacing="0" w:after="360" w:afterAutospacing="0" w:line="300" w:lineRule="atLeast"/>
        <w:textAlignment w:val="baseline"/>
        <w:rPr>
          <w:rFonts w:asciiTheme="minorHAnsi" w:hAnsiTheme="minorHAnsi" w:cstheme="minorHAnsi"/>
          <w:shd w:val="clear" w:color="auto" w:fill="FFFFFF"/>
        </w:rPr>
      </w:pPr>
    </w:p>
    <w:p w:rsidR="002F2DD6" w:rsidRPr="002F2DD6" w:rsidRDefault="002F2DD6" w:rsidP="002F2DD6">
      <w:pPr>
        <w:pStyle w:val="NormalWeb"/>
        <w:shd w:val="clear" w:color="auto" w:fill="FFFFFF"/>
        <w:spacing w:before="0" w:beforeAutospacing="0" w:after="360" w:afterAutospacing="0" w:line="300" w:lineRule="atLeast"/>
        <w:textAlignment w:val="baseline"/>
        <w:rPr>
          <w:rFonts w:asciiTheme="minorHAnsi" w:hAnsiTheme="minorHAnsi" w:cstheme="minorHAnsi"/>
          <w:b/>
        </w:rPr>
      </w:pPr>
      <w:r w:rsidRPr="002F2DD6">
        <w:rPr>
          <w:rFonts w:asciiTheme="minorHAnsi" w:hAnsiTheme="minorHAnsi" w:cstheme="minorHAnsi"/>
          <w:b/>
          <w:shd w:val="clear" w:color="auto" w:fill="FFFFFF"/>
        </w:rPr>
        <w:lastRenderedPageBreak/>
        <w:t>REFERENCES</w:t>
      </w:r>
    </w:p>
    <w:p w:rsidR="00E867BB" w:rsidRPr="002F2DD6" w:rsidRDefault="002F2DD6">
      <w:pPr>
        <w:rPr>
          <w:rFonts w:cstheme="minorHAnsi"/>
          <w:sz w:val="24"/>
          <w:szCs w:val="24"/>
        </w:rPr>
      </w:pPr>
      <w:hyperlink r:id="rId7" w:history="1">
        <w:r w:rsidRPr="002F2DD6">
          <w:rPr>
            <w:rStyle w:val="Hyperlink"/>
            <w:rFonts w:cstheme="minorHAnsi"/>
            <w:color w:val="auto"/>
            <w:sz w:val="24"/>
            <w:szCs w:val="24"/>
          </w:rPr>
          <w:t>https://journals.sagepub.com/doi/10.1177/1932296818763634</w:t>
        </w:r>
      </w:hyperlink>
    </w:p>
    <w:p w:rsidR="002F2DD6" w:rsidRPr="002F2DD6" w:rsidRDefault="002F2DD6">
      <w:pPr>
        <w:rPr>
          <w:rFonts w:cstheme="minorHAnsi"/>
          <w:sz w:val="24"/>
          <w:szCs w:val="24"/>
        </w:rPr>
      </w:pPr>
      <w:hyperlink r:id="rId8" w:history="1">
        <w:r w:rsidRPr="002F2DD6">
          <w:rPr>
            <w:rStyle w:val="Hyperlink"/>
            <w:rFonts w:cstheme="minorHAnsi"/>
            <w:color w:val="auto"/>
            <w:sz w:val="24"/>
            <w:szCs w:val="24"/>
          </w:rPr>
          <w:t>https://standards.globalspec.com/std/14220979/AAMI%20TIR57</w:t>
        </w:r>
      </w:hyperlink>
    </w:p>
    <w:p w:rsidR="002F2DD6" w:rsidRPr="002F2DD6" w:rsidRDefault="002F2DD6">
      <w:pPr>
        <w:rPr>
          <w:rFonts w:cstheme="minorHAnsi"/>
          <w:sz w:val="24"/>
          <w:szCs w:val="24"/>
        </w:rPr>
      </w:pPr>
      <w:hyperlink r:id="rId9" w:history="1">
        <w:r w:rsidRPr="002F2DD6">
          <w:rPr>
            <w:rStyle w:val="Hyperlink"/>
            <w:rFonts w:cstheme="minorHAnsi"/>
            <w:color w:val="auto"/>
            <w:sz w:val="24"/>
            <w:szCs w:val="24"/>
          </w:rPr>
          <w:t>https://www.tuvsud.com/en-in/e-ssentials-newsletter/healthcare-and-medical-devices-essentials/e-ssentials-4-2016/protecting-it-systems-aami-report-offers-the-first-dedicated-guide</w:t>
        </w:r>
      </w:hyperlink>
    </w:p>
    <w:p w:rsidR="002F2DD6" w:rsidRPr="002F2DD6" w:rsidRDefault="002F2DD6">
      <w:pPr>
        <w:rPr>
          <w:rFonts w:cstheme="minorHAnsi"/>
          <w:sz w:val="24"/>
          <w:szCs w:val="24"/>
        </w:rPr>
      </w:pPr>
      <w:hyperlink r:id="rId10" w:history="1">
        <w:r w:rsidRPr="002F2DD6">
          <w:rPr>
            <w:rStyle w:val="Hyperlink"/>
            <w:rFonts w:cstheme="minorHAnsi"/>
            <w:color w:val="auto"/>
            <w:sz w:val="24"/>
            <w:szCs w:val="24"/>
          </w:rPr>
          <w:t>http://rdcms-aami.s3.amazonaws.com/files/production/public/FileDownloads/BIT/2016_BIT_JF_CybersecurityManufacturers.pdf</w:t>
        </w:r>
      </w:hyperlink>
    </w:p>
    <w:p w:rsidR="002F2DD6" w:rsidRPr="002F2DD6" w:rsidRDefault="002F2DD6">
      <w:pPr>
        <w:rPr>
          <w:rFonts w:cstheme="minorHAnsi"/>
          <w:sz w:val="24"/>
          <w:szCs w:val="24"/>
        </w:rPr>
      </w:pPr>
    </w:p>
    <w:p w:rsidR="002F2DD6" w:rsidRPr="002F2DD6" w:rsidRDefault="002F2DD6">
      <w:pPr>
        <w:rPr>
          <w:rFonts w:cstheme="minorHAnsi"/>
          <w:sz w:val="24"/>
          <w:szCs w:val="24"/>
        </w:rPr>
      </w:pPr>
    </w:p>
    <w:sectPr w:rsidR="002F2DD6" w:rsidRPr="002F2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A23AB0"/>
    <w:multiLevelType w:val="hybridMultilevel"/>
    <w:tmpl w:val="4FA8494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CEF447B"/>
    <w:multiLevelType w:val="hybridMultilevel"/>
    <w:tmpl w:val="18DAA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06F2F2F"/>
    <w:multiLevelType w:val="multilevel"/>
    <w:tmpl w:val="C2445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1DC"/>
    <w:rsid w:val="002F2DD6"/>
    <w:rsid w:val="00711A43"/>
    <w:rsid w:val="008661DC"/>
    <w:rsid w:val="0098324A"/>
    <w:rsid w:val="00E867BB"/>
    <w:rsid w:val="00E94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CECCA4-9B9A-48B9-A12F-891E25FE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61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661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2F2DD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11A4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1D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661DC"/>
    <w:rPr>
      <w:rFonts w:ascii="Times New Roman" w:eastAsia="Times New Roman" w:hAnsi="Times New Roman" w:cs="Times New Roman"/>
      <w:b/>
      <w:bCs/>
      <w:sz w:val="36"/>
      <w:szCs w:val="36"/>
      <w:lang w:eastAsia="en-IN"/>
    </w:rPr>
  </w:style>
  <w:style w:type="character" w:customStyle="1" w:styleId="doc-name">
    <w:name w:val="doc-name"/>
    <w:basedOn w:val="DefaultParagraphFont"/>
    <w:rsid w:val="008661DC"/>
  </w:style>
  <w:style w:type="character" w:customStyle="1" w:styleId="Heading5Char">
    <w:name w:val="Heading 5 Char"/>
    <w:basedOn w:val="DefaultParagraphFont"/>
    <w:link w:val="Heading5"/>
    <w:uiPriority w:val="9"/>
    <w:rsid w:val="00711A43"/>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711A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2F2DD6"/>
    <w:rPr>
      <w:color w:val="0563C1" w:themeColor="hyperlink"/>
      <w:u w:val="single"/>
    </w:rPr>
  </w:style>
  <w:style w:type="character" w:customStyle="1" w:styleId="Heading4Char">
    <w:name w:val="Heading 4 Char"/>
    <w:basedOn w:val="DefaultParagraphFont"/>
    <w:link w:val="Heading4"/>
    <w:uiPriority w:val="9"/>
    <w:semiHidden/>
    <w:rsid w:val="002F2DD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54403">
      <w:bodyDiv w:val="1"/>
      <w:marLeft w:val="0"/>
      <w:marRight w:val="0"/>
      <w:marTop w:val="0"/>
      <w:marBottom w:val="0"/>
      <w:divBdr>
        <w:top w:val="none" w:sz="0" w:space="0" w:color="auto"/>
        <w:left w:val="none" w:sz="0" w:space="0" w:color="auto"/>
        <w:bottom w:val="none" w:sz="0" w:space="0" w:color="auto"/>
        <w:right w:val="none" w:sz="0" w:space="0" w:color="auto"/>
      </w:divBdr>
    </w:div>
    <w:div w:id="1046837454">
      <w:bodyDiv w:val="1"/>
      <w:marLeft w:val="0"/>
      <w:marRight w:val="0"/>
      <w:marTop w:val="0"/>
      <w:marBottom w:val="0"/>
      <w:divBdr>
        <w:top w:val="none" w:sz="0" w:space="0" w:color="auto"/>
        <w:left w:val="none" w:sz="0" w:space="0" w:color="auto"/>
        <w:bottom w:val="none" w:sz="0" w:space="0" w:color="auto"/>
        <w:right w:val="none" w:sz="0" w:space="0" w:color="auto"/>
      </w:divBdr>
    </w:div>
    <w:div w:id="1454977129">
      <w:bodyDiv w:val="1"/>
      <w:marLeft w:val="0"/>
      <w:marRight w:val="0"/>
      <w:marTop w:val="0"/>
      <w:marBottom w:val="0"/>
      <w:divBdr>
        <w:top w:val="none" w:sz="0" w:space="0" w:color="auto"/>
        <w:left w:val="none" w:sz="0" w:space="0" w:color="auto"/>
        <w:bottom w:val="none" w:sz="0" w:space="0" w:color="auto"/>
        <w:right w:val="none" w:sz="0" w:space="0" w:color="auto"/>
      </w:divBdr>
    </w:div>
    <w:div w:id="2000383396">
      <w:bodyDiv w:val="1"/>
      <w:marLeft w:val="0"/>
      <w:marRight w:val="0"/>
      <w:marTop w:val="0"/>
      <w:marBottom w:val="0"/>
      <w:divBdr>
        <w:top w:val="none" w:sz="0" w:space="0" w:color="auto"/>
        <w:left w:val="none" w:sz="0" w:space="0" w:color="auto"/>
        <w:bottom w:val="none" w:sz="0" w:space="0" w:color="auto"/>
        <w:right w:val="none" w:sz="0" w:space="0" w:color="auto"/>
      </w:divBdr>
    </w:div>
    <w:div w:id="207049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ndards.globalspec.com/std/14220979/AAMI%20TIR57" TargetMode="External"/><Relationship Id="rId3" Type="http://schemas.openxmlformats.org/officeDocument/2006/relationships/settings" Target="settings.xml"/><Relationship Id="rId7" Type="http://schemas.openxmlformats.org/officeDocument/2006/relationships/hyperlink" Target="https://journals.sagepub.com/doi/10.1177/193229681876363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rdcms-aami.s3.amazonaws.com/files/production/public/FileDownloads/BIT/2016_BIT_JF_CybersecurityManufacturers.pdf" TargetMode="External"/><Relationship Id="rId4" Type="http://schemas.openxmlformats.org/officeDocument/2006/relationships/webSettings" Target="webSettings.xml"/><Relationship Id="rId9" Type="http://schemas.openxmlformats.org/officeDocument/2006/relationships/hyperlink" Target="https://www.tuvsud.com/en-in/e-ssentials-newsletter/healthcare-and-medical-devices-essentials/e-ssentials-4-2016/protecting-it-systems-aami-report-offers-the-first-dedicated-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1</cp:revision>
  <dcterms:created xsi:type="dcterms:W3CDTF">2021-03-30T06:42:00Z</dcterms:created>
  <dcterms:modified xsi:type="dcterms:W3CDTF">2021-03-30T10:30:00Z</dcterms:modified>
</cp:coreProperties>
</file>