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1C6C" w:rsidRPr="00F85B8F" w:rsidRDefault="000E1C6C" w:rsidP="000E1C6C">
      <w:pPr>
        <w:pStyle w:val="Heading2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theme="minorHAnsi"/>
          <w:spacing w:val="-15"/>
          <w:sz w:val="28"/>
          <w:szCs w:val="24"/>
        </w:rPr>
      </w:pPr>
      <w:r w:rsidRPr="00F85B8F">
        <w:rPr>
          <w:rFonts w:asciiTheme="minorHAnsi" w:hAnsiTheme="minorHAnsi" w:cstheme="minorHAnsi"/>
          <w:spacing w:val="-15"/>
          <w:sz w:val="28"/>
          <w:szCs w:val="24"/>
        </w:rPr>
        <w:t>Application of risk management for IT-networks incorporating medical devices</w:t>
      </w:r>
    </w:p>
    <w:p w:rsidR="000E1C6C" w:rsidRPr="00F85B8F" w:rsidRDefault="000E1C6C" w:rsidP="000E1C6C">
      <w:pPr>
        <w:pStyle w:val="Heading2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theme="minorHAnsi"/>
          <w:spacing w:val="-15"/>
          <w:sz w:val="28"/>
          <w:szCs w:val="24"/>
        </w:rPr>
      </w:pPr>
      <w:r w:rsidRPr="00F85B8F">
        <w:rPr>
          <w:rFonts w:asciiTheme="minorHAnsi" w:hAnsiTheme="minorHAnsi" w:cstheme="minorHAnsi"/>
          <w:spacing w:val="-15"/>
          <w:sz w:val="28"/>
          <w:szCs w:val="24"/>
        </w:rPr>
        <w:t xml:space="preserve"> (I</w:t>
      </w:r>
      <w:r w:rsidRPr="00F85B8F">
        <w:rPr>
          <w:rStyle w:val="Emphasis"/>
          <w:rFonts w:asciiTheme="minorHAnsi" w:hAnsiTheme="minorHAnsi" w:cstheme="minorHAnsi"/>
          <w:bCs w:val="0"/>
          <w:i w:val="0"/>
          <w:iCs w:val="0"/>
          <w:sz w:val="28"/>
          <w:szCs w:val="24"/>
          <w:shd w:val="clear" w:color="auto" w:fill="FFFFFF"/>
        </w:rPr>
        <w:t>EC 80001-2</w:t>
      </w:r>
      <w:r w:rsidRPr="00F85B8F">
        <w:rPr>
          <w:rFonts w:asciiTheme="minorHAnsi" w:hAnsiTheme="minorHAnsi" w:cstheme="minorHAnsi"/>
          <w:spacing w:val="-15"/>
          <w:sz w:val="28"/>
          <w:szCs w:val="24"/>
        </w:rPr>
        <w:t>)</w:t>
      </w:r>
    </w:p>
    <w:p w:rsidR="00F85B8F" w:rsidRPr="00F85B8F" w:rsidRDefault="00F85B8F" w:rsidP="00F85B8F">
      <w:pPr>
        <w:pStyle w:val="ListParagraph"/>
        <w:numPr>
          <w:ilvl w:val="0"/>
          <w:numId w:val="2"/>
        </w:num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85B8F">
        <w:rPr>
          <w:rFonts w:eastAsia="Times New Roman" w:cstheme="minorHAnsi"/>
          <w:sz w:val="24"/>
          <w:szCs w:val="24"/>
          <w:lang w:eastAsia="en-IN"/>
        </w:rPr>
        <w:t>This part of IEC 80001 creates a framework for the disclosure of security-related capabilities and </w:t>
      </w:r>
      <w:r w:rsidRPr="00F85B8F">
        <w:rPr>
          <w:rFonts w:eastAsia="Times New Roman" w:cstheme="minorHAnsi"/>
          <w:smallCaps/>
          <w:sz w:val="24"/>
          <w:szCs w:val="24"/>
          <w:lang w:eastAsia="en-IN"/>
        </w:rPr>
        <w:t>risks</w:t>
      </w:r>
      <w:r w:rsidRPr="00F85B8F">
        <w:rPr>
          <w:rFonts w:eastAsia="Times New Roman" w:cstheme="minorHAnsi"/>
          <w:sz w:val="24"/>
          <w:szCs w:val="24"/>
          <w:lang w:eastAsia="en-IN"/>
        </w:rPr>
        <w:t> necessary for managing the </w:t>
      </w:r>
      <w:r w:rsidRPr="00F85B8F">
        <w:rPr>
          <w:rFonts w:eastAsia="Times New Roman" w:cstheme="minorHAnsi"/>
          <w:smallCaps/>
          <w:sz w:val="24"/>
          <w:szCs w:val="24"/>
          <w:lang w:eastAsia="en-IN"/>
        </w:rPr>
        <w:t>risk</w:t>
      </w:r>
      <w:r w:rsidRPr="00F85B8F">
        <w:rPr>
          <w:rFonts w:eastAsia="Times New Roman" w:cstheme="minorHAnsi"/>
          <w:sz w:val="24"/>
          <w:szCs w:val="24"/>
          <w:lang w:eastAsia="en-IN"/>
        </w:rPr>
        <w:t> in connecting </w:t>
      </w:r>
      <w:r w:rsidRPr="00F85B8F">
        <w:rPr>
          <w:rFonts w:eastAsia="Times New Roman" w:cstheme="minorHAnsi"/>
          <w:smallCaps/>
          <w:sz w:val="24"/>
          <w:szCs w:val="24"/>
          <w:lang w:eastAsia="en-IN"/>
        </w:rPr>
        <w:t>medical devices</w:t>
      </w:r>
      <w:r w:rsidRPr="00F85B8F">
        <w:rPr>
          <w:rFonts w:eastAsia="Times New Roman" w:cstheme="minorHAnsi"/>
          <w:sz w:val="24"/>
          <w:szCs w:val="24"/>
          <w:lang w:eastAsia="en-IN"/>
        </w:rPr>
        <w:t> to IT-</w:t>
      </w:r>
      <w:r w:rsidRPr="00F85B8F">
        <w:rPr>
          <w:rFonts w:eastAsia="Times New Roman" w:cstheme="minorHAnsi"/>
          <w:smallCaps/>
          <w:sz w:val="24"/>
          <w:szCs w:val="24"/>
          <w:lang w:eastAsia="en-IN"/>
        </w:rPr>
        <w:t>networks</w:t>
      </w:r>
      <w:r w:rsidRPr="00F85B8F">
        <w:rPr>
          <w:rFonts w:eastAsia="Times New Roman" w:cstheme="minorHAnsi"/>
          <w:sz w:val="24"/>
          <w:szCs w:val="24"/>
          <w:lang w:eastAsia="en-IN"/>
        </w:rPr>
        <w:t> and for the security dialog that surrounds the IEC 80001-1 </w:t>
      </w:r>
      <w:r w:rsidRPr="00F85B8F">
        <w:rPr>
          <w:rFonts w:eastAsia="Times New Roman" w:cstheme="minorHAnsi"/>
          <w:smallCaps/>
          <w:sz w:val="24"/>
          <w:szCs w:val="24"/>
          <w:lang w:eastAsia="en-IN"/>
        </w:rPr>
        <w:t>risk management</w:t>
      </w:r>
      <w:r w:rsidRPr="00F85B8F">
        <w:rPr>
          <w:rFonts w:eastAsia="Times New Roman" w:cstheme="minorHAnsi"/>
          <w:sz w:val="24"/>
          <w:szCs w:val="24"/>
          <w:lang w:eastAsia="en-IN"/>
        </w:rPr>
        <w:t> of IT-</w:t>
      </w:r>
      <w:r w:rsidRPr="00F85B8F">
        <w:rPr>
          <w:rFonts w:eastAsia="Times New Roman" w:cstheme="minorHAnsi"/>
          <w:smallCaps/>
          <w:sz w:val="24"/>
          <w:szCs w:val="24"/>
          <w:lang w:eastAsia="en-IN"/>
        </w:rPr>
        <w:t>network</w:t>
      </w:r>
      <w:r w:rsidRPr="00F85B8F">
        <w:rPr>
          <w:rFonts w:eastAsia="Times New Roman" w:cstheme="minorHAnsi"/>
          <w:sz w:val="24"/>
          <w:szCs w:val="24"/>
          <w:lang w:eastAsia="en-IN"/>
        </w:rPr>
        <w:t> connection.</w:t>
      </w:r>
    </w:p>
    <w:p w:rsidR="00F85B8F" w:rsidRPr="00F85B8F" w:rsidRDefault="00F85B8F" w:rsidP="00F85B8F">
      <w:pPr>
        <w:pStyle w:val="ListParagraph"/>
        <w:numPr>
          <w:ilvl w:val="0"/>
          <w:numId w:val="2"/>
        </w:numPr>
        <w:shd w:val="clear" w:color="auto" w:fill="FFFFFF"/>
        <w:spacing w:after="150" w:line="240" w:lineRule="auto"/>
        <w:rPr>
          <w:rFonts w:eastAsia="Times New Roman" w:cstheme="minorHAnsi"/>
          <w:szCs w:val="24"/>
          <w:lang w:eastAsia="en-IN"/>
        </w:rPr>
      </w:pPr>
      <w:r w:rsidRPr="00F85B8F">
        <w:rPr>
          <w:rFonts w:cstheme="minorHAnsi"/>
          <w:sz w:val="24"/>
          <w:szCs w:val="27"/>
          <w:shd w:val="clear" w:color="auto" w:fill="FFFFFF"/>
        </w:rPr>
        <w:t xml:space="preserve">It helps in </w:t>
      </w:r>
      <w:r w:rsidRPr="00F85B8F">
        <w:rPr>
          <w:rFonts w:cstheme="minorHAnsi"/>
          <w:sz w:val="24"/>
          <w:szCs w:val="27"/>
          <w:shd w:val="clear" w:color="auto" w:fill="FFFFFF"/>
        </w:rPr>
        <w:t>identifying, developing, interpreting, updating and maintaining security cases for networked medical devices. </w:t>
      </w:r>
    </w:p>
    <w:p w:rsidR="00F85B8F" w:rsidRPr="00F85B8F" w:rsidRDefault="00F85B8F" w:rsidP="00F85B8F">
      <w:pPr>
        <w:pStyle w:val="ListParagraph"/>
        <w:numPr>
          <w:ilvl w:val="0"/>
          <w:numId w:val="2"/>
        </w:num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85B8F">
        <w:rPr>
          <w:rFonts w:eastAsia="Times New Roman" w:cstheme="minorHAnsi"/>
          <w:sz w:val="24"/>
          <w:szCs w:val="24"/>
          <w:lang w:eastAsia="en-IN"/>
        </w:rPr>
        <w:t>The capability descriptions in this report are intended to supply:</w:t>
      </w:r>
    </w:p>
    <w:p w:rsidR="00F85B8F" w:rsidRDefault="00F85B8F" w:rsidP="00F85B8F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85B8F">
        <w:rPr>
          <w:rFonts w:eastAsia="Times New Roman" w:cstheme="minorHAnsi"/>
          <w:sz w:val="24"/>
          <w:szCs w:val="24"/>
          <w:lang w:eastAsia="en-IN"/>
        </w:rPr>
        <w:t> Healt</w:t>
      </w:r>
      <w:r>
        <w:rPr>
          <w:rFonts w:eastAsia="Times New Roman" w:cstheme="minorHAnsi"/>
          <w:sz w:val="24"/>
          <w:szCs w:val="24"/>
          <w:lang w:eastAsia="en-IN"/>
        </w:rPr>
        <w:t>h delivery organizations (HDOs)</w:t>
      </w:r>
    </w:p>
    <w:p w:rsidR="00F85B8F" w:rsidRDefault="00F85B8F" w:rsidP="00F85B8F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85B8F">
        <w:rPr>
          <w:rFonts w:eastAsia="Times New Roman" w:cstheme="minorHAnsi"/>
          <w:sz w:val="24"/>
          <w:szCs w:val="24"/>
          <w:lang w:eastAsia="en-IN"/>
        </w:rPr>
        <w:t> </w:t>
      </w:r>
      <w:r w:rsidRPr="00F85B8F">
        <w:rPr>
          <w:rFonts w:eastAsia="Times New Roman" w:cstheme="minorHAnsi"/>
          <w:smallCaps/>
          <w:sz w:val="24"/>
          <w:szCs w:val="24"/>
          <w:lang w:eastAsia="en-IN"/>
        </w:rPr>
        <w:t>medical device</w:t>
      </w:r>
      <w:r>
        <w:rPr>
          <w:rFonts w:eastAsia="Times New Roman" w:cstheme="minorHAnsi"/>
          <w:sz w:val="24"/>
          <w:szCs w:val="24"/>
          <w:lang w:eastAsia="en-IN"/>
        </w:rPr>
        <w:t> manufacturers (MDMs)</w:t>
      </w:r>
    </w:p>
    <w:p w:rsidR="00F85B8F" w:rsidRPr="00F85B8F" w:rsidRDefault="00F85B8F" w:rsidP="00F85B8F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85B8F">
        <w:rPr>
          <w:rFonts w:eastAsia="Times New Roman" w:cstheme="minorHAnsi"/>
          <w:sz w:val="24"/>
          <w:szCs w:val="24"/>
          <w:lang w:eastAsia="en-IN"/>
        </w:rPr>
        <w:t>IT vendors</w:t>
      </w:r>
    </w:p>
    <w:p w:rsidR="00F85B8F" w:rsidRDefault="00F85B8F" w:rsidP="00F85B8F">
      <w:pPr>
        <w:pStyle w:val="ListParagraph"/>
        <w:numPr>
          <w:ilvl w:val="0"/>
          <w:numId w:val="2"/>
        </w:num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85B8F">
        <w:rPr>
          <w:rFonts w:eastAsia="Times New Roman" w:cstheme="minorHAnsi"/>
          <w:sz w:val="24"/>
          <w:szCs w:val="24"/>
          <w:lang w:eastAsia="en-IN"/>
        </w:rPr>
        <w:t>This security report presents an informative set of common, high-level security-related capabilities useful in understanding the user needs, the type of security controls to be considered and the </w:t>
      </w:r>
      <w:r w:rsidRPr="00F85B8F">
        <w:rPr>
          <w:rFonts w:eastAsia="Times New Roman" w:cstheme="minorHAnsi"/>
          <w:smallCaps/>
          <w:sz w:val="24"/>
          <w:szCs w:val="24"/>
          <w:lang w:eastAsia="en-IN"/>
        </w:rPr>
        <w:t>risks</w:t>
      </w:r>
      <w:r w:rsidRPr="00F85B8F">
        <w:rPr>
          <w:rFonts w:eastAsia="Times New Roman" w:cstheme="minorHAnsi"/>
          <w:sz w:val="24"/>
          <w:szCs w:val="24"/>
          <w:lang w:eastAsia="en-IN"/>
        </w:rPr>
        <w:t> that lead to the controls.</w:t>
      </w:r>
    </w:p>
    <w:p w:rsidR="00F85B8F" w:rsidRPr="00F85B8F" w:rsidRDefault="00F85B8F" w:rsidP="00F85B8F">
      <w:pPr>
        <w:pStyle w:val="ListParagraph"/>
        <w:numPr>
          <w:ilvl w:val="0"/>
          <w:numId w:val="2"/>
        </w:num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85B8F">
        <w:rPr>
          <w:rFonts w:cstheme="minorHAnsi"/>
          <w:color w:val="333333"/>
          <w:sz w:val="24"/>
          <w:szCs w:val="27"/>
          <w:shd w:val="clear" w:color="auto" w:fill="FFFFFF"/>
        </w:rPr>
        <w:t>This document leverages the requirements set out in ISO/IEC 15026-2 for the development of assurance cases.</w:t>
      </w:r>
    </w:p>
    <w:p w:rsidR="00F85B8F" w:rsidRPr="00F85B8F" w:rsidRDefault="00F85B8F" w:rsidP="00F85B8F">
      <w:pPr>
        <w:pStyle w:val="ListParagraph"/>
        <w:numPr>
          <w:ilvl w:val="0"/>
          <w:numId w:val="2"/>
        </w:numPr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85B8F">
        <w:rPr>
          <w:rFonts w:cstheme="minorHAnsi"/>
          <w:color w:val="333333"/>
          <w:sz w:val="24"/>
          <w:szCs w:val="27"/>
          <w:shd w:val="clear" w:color="auto" w:fill="FFFFFF"/>
        </w:rPr>
        <w:t xml:space="preserve"> It is not intended that this security case framework will replace a risk management strategy, rather, the intention is to complement risk management and in turn provide a greater level of assurance for a medical device by:</w:t>
      </w:r>
    </w:p>
    <w:p w:rsidR="00F85B8F" w:rsidRPr="00F85B8F" w:rsidRDefault="00F85B8F" w:rsidP="00F85B8F">
      <w:pPr>
        <w:pStyle w:val="ListParagraph"/>
        <w:shd w:val="clear" w:color="auto" w:fill="FFFFFF"/>
        <w:spacing w:after="15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F85B8F" w:rsidRPr="00F85B8F" w:rsidRDefault="00F85B8F" w:rsidP="00F85B8F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cstheme="minorHAnsi"/>
          <w:color w:val="333333"/>
          <w:sz w:val="24"/>
          <w:szCs w:val="27"/>
          <w:shd w:val="clear" w:color="auto" w:fill="FFFFFF"/>
        </w:rPr>
      </w:pPr>
      <w:r w:rsidRPr="00F85B8F">
        <w:rPr>
          <w:rFonts w:cstheme="minorHAnsi"/>
          <w:color w:val="333333"/>
          <w:sz w:val="24"/>
          <w:szCs w:val="27"/>
          <w:shd w:val="clear" w:color="auto" w:fill="FFFFFF"/>
        </w:rPr>
        <w:t>Ma</w:t>
      </w:r>
      <w:r w:rsidRPr="00F85B8F">
        <w:rPr>
          <w:rFonts w:cstheme="minorHAnsi"/>
          <w:color w:val="333333"/>
          <w:sz w:val="24"/>
          <w:szCs w:val="27"/>
          <w:shd w:val="clear" w:color="auto" w:fill="FFFFFF"/>
        </w:rPr>
        <w:t>pping specific risk management steps to each of the IEC TR 80001</w:t>
      </w:r>
      <w:r w:rsidRPr="00F85B8F">
        <w:rPr>
          <w:rFonts w:cstheme="minorHAnsi"/>
          <w:color w:val="333333"/>
          <w:sz w:val="24"/>
          <w:szCs w:val="27"/>
          <w:shd w:val="clear" w:color="auto" w:fill="FFFFFF"/>
        </w:rPr>
        <w:t>-2-2 security capabilities.</w:t>
      </w:r>
    </w:p>
    <w:p w:rsidR="00F85B8F" w:rsidRPr="00F85B8F" w:rsidRDefault="00F85B8F" w:rsidP="00F85B8F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cstheme="minorHAnsi"/>
          <w:color w:val="333333"/>
          <w:sz w:val="24"/>
          <w:szCs w:val="27"/>
          <w:shd w:val="clear" w:color="auto" w:fill="FFFFFF"/>
        </w:rPr>
      </w:pPr>
      <w:r w:rsidRPr="00F85B8F">
        <w:rPr>
          <w:rFonts w:cstheme="minorHAnsi"/>
          <w:color w:val="333333"/>
          <w:sz w:val="24"/>
          <w:szCs w:val="27"/>
          <w:shd w:val="clear" w:color="auto" w:fill="FFFFFF"/>
        </w:rPr>
        <w:t>I</w:t>
      </w:r>
      <w:r w:rsidRPr="00F85B8F">
        <w:rPr>
          <w:rFonts w:cstheme="minorHAnsi"/>
          <w:color w:val="333333"/>
          <w:sz w:val="24"/>
          <w:szCs w:val="27"/>
          <w:shd w:val="clear" w:color="auto" w:fill="FFFFFF"/>
        </w:rPr>
        <w:t>dentifying associated threats and vulnerabilities and presenting them in the format of a security case with the inclusion o</w:t>
      </w:r>
      <w:r w:rsidRPr="00F85B8F">
        <w:rPr>
          <w:rFonts w:cstheme="minorHAnsi"/>
          <w:color w:val="333333"/>
          <w:sz w:val="24"/>
          <w:szCs w:val="27"/>
          <w:shd w:val="clear" w:color="auto" w:fill="FFFFFF"/>
        </w:rPr>
        <w:t>f a re-useable security pattern.</w:t>
      </w:r>
    </w:p>
    <w:p w:rsidR="00F85B8F" w:rsidRDefault="00F85B8F" w:rsidP="00F85B8F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cstheme="minorHAnsi"/>
          <w:color w:val="333333"/>
          <w:sz w:val="24"/>
          <w:szCs w:val="27"/>
          <w:shd w:val="clear" w:color="auto" w:fill="FFFFFF"/>
        </w:rPr>
      </w:pPr>
      <w:r w:rsidRPr="00F85B8F">
        <w:rPr>
          <w:rFonts w:cstheme="minorHAnsi"/>
          <w:color w:val="333333"/>
          <w:sz w:val="24"/>
          <w:szCs w:val="27"/>
          <w:shd w:val="clear" w:color="auto" w:fill="FFFFFF"/>
        </w:rPr>
        <w:t>P</w:t>
      </w:r>
      <w:r w:rsidRPr="00F85B8F">
        <w:rPr>
          <w:rFonts w:cstheme="minorHAnsi"/>
          <w:color w:val="333333"/>
          <w:sz w:val="24"/>
          <w:szCs w:val="27"/>
          <w:shd w:val="clear" w:color="auto" w:fill="FFFFFF"/>
        </w:rPr>
        <w:t>roviding guidance for the selection of appropriate security controls to establish security capabilities and presenting them as par</w:t>
      </w:r>
      <w:r w:rsidRPr="00F85B8F">
        <w:rPr>
          <w:rFonts w:cstheme="minorHAnsi"/>
          <w:color w:val="333333"/>
          <w:sz w:val="24"/>
          <w:szCs w:val="27"/>
          <w:shd w:val="clear" w:color="auto" w:fill="FFFFFF"/>
        </w:rPr>
        <w:t>t of the security case pattern.</w:t>
      </w:r>
    </w:p>
    <w:p w:rsidR="00F85B8F" w:rsidRPr="00D12728" w:rsidRDefault="00F85B8F" w:rsidP="00D12728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cstheme="minorHAnsi"/>
          <w:color w:val="333333"/>
          <w:sz w:val="24"/>
          <w:szCs w:val="27"/>
          <w:shd w:val="clear" w:color="auto" w:fill="FFFFFF"/>
        </w:rPr>
      </w:pPr>
      <w:r w:rsidRPr="00F85B8F">
        <w:rPr>
          <w:rFonts w:cstheme="minorHAnsi"/>
          <w:color w:val="333333"/>
          <w:sz w:val="24"/>
          <w:szCs w:val="27"/>
          <w:shd w:val="clear" w:color="auto" w:fill="FFFFFF"/>
        </w:rPr>
        <w:t>P</w:t>
      </w:r>
      <w:r w:rsidRPr="00F85B8F">
        <w:rPr>
          <w:rFonts w:cstheme="minorHAnsi"/>
          <w:color w:val="333333"/>
          <w:sz w:val="24"/>
          <w:szCs w:val="27"/>
          <w:shd w:val="clear" w:color="auto" w:fill="FFFFFF"/>
        </w:rPr>
        <w:t>roviding evidence to support the implementation of a security control, hence providing confidence in the establishment of each of the security capabilities</w:t>
      </w:r>
      <w:r w:rsidRPr="00F85B8F">
        <w:rPr>
          <w:rFonts w:ascii="Helvetica" w:hAnsi="Helvetica" w:cs="Helvetica"/>
          <w:color w:val="333333"/>
          <w:sz w:val="27"/>
          <w:szCs w:val="27"/>
          <w:shd w:val="clear" w:color="auto" w:fill="FFFFFF"/>
        </w:rPr>
        <w:t>.</w:t>
      </w:r>
    </w:p>
    <w:p w:rsidR="00D12728" w:rsidRPr="00D12728" w:rsidRDefault="00D12728" w:rsidP="00D12728">
      <w:pPr>
        <w:pStyle w:val="ListParagraph"/>
        <w:shd w:val="clear" w:color="auto" w:fill="FFFFFF"/>
        <w:spacing w:after="150" w:line="240" w:lineRule="auto"/>
        <w:ind w:left="2309"/>
        <w:rPr>
          <w:rFonts w:cstheme="minorHAnsi"/>
          <w:color w:val="333333"/>
          <w:sz w:val="24"/>
          <w:szCs w:val="27"/>
          <w:shd w:val="clear" w:color="auto" w:fill="FFFFFF"/>
        </w:rPr>
      </w:pPr>
    </w:p>
    <w:p w:rsidR="00F85B8F" w:rsidRDefault="00D12728">
      <w:pPr>
        <w:rPr>
          <w:rFonts w:cstheme="minorHAnsi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>
            <wp:extent cx="5976980" cy="2398144"/>
            <wp:effectExtent l="0" t="0" r="5080" b="2540"/>
            <wp:docPr id="2" name="Picture 2" descr="Cybersecurity and medical devices: Are the ISO/IEC 80001-2-2 technical  controls up to the challenge? - ScienceDir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ybersecurity and medical devices: Are the ISO/IEC 80001-2-2 technical  controls up to the challenge? - ScienceDirec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504" cy="240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5B8F" w:rsidRDefault="00D12728">
      <w:pPr>
        <w:rPr>
          <w:rFonts w:cstheme="minorHAnsi"/>
          <w:sz w:val="24"/>
          <w:szCs w:val="24"/>
        </w:rPr>
      </w:pPr>
      <w:r w:rsidRPr="00D12728">
        <w:rPr>
          <w:rFonts w:cstheme="minorHAnsi"/>
          <w:sz w:val="24"/>
          <w:szCs w:val="24"/>
        </w:rPr>
        <w:lastRenderedPageBreak/>
        <w:drawing>
          <wp:inline distT="0" distB="0" distL="0" distR="0">
            <wp:extent cx="5731510" cy="4600611"/>
            <wp:effectExtent l="0" t="0" r="2540" b="9525"/>
            <wp:docPr id="3" name="Picture 3" descr="IEC 80001-2-3:2012(en), Application of risk management for IT-networks  incorporating medical devices — Part 2-3: Guidance for wireless net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EC 80001-2-3:2012(en), Application of risk management for IT-networks  incorporating medical devices — Part 2-3: Guidance for wireless network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0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5B8F" w:rsidRDefault="00F85B8F">
      <w:pPr>
        <w:rPr>
          <w:rFonts w:cstheme="minorHAnsi"/>
          <w:sz w:val="24"/>
          <w:szCs w:val="24"/>
        </w:rPr>
      </w:pPr>
    </w:p>
    <w:p w:rsidR="00F85B8F" w:rsidRDefault="00F85B8F">
      <w:pPr>
        <w:rPr>
          <w:rFonts w:cstheme="minorHAnsi"/>
          <w:sz w:val="24"/>
          <w:szCs w:val="24"/>
        </w:rPr>
      </w:pPr>
      <w:bookmarkStart w:id="0" w:name="_GoBack"/>
      <w:bookmarkEnd w:id="0"/>
    </w:p>
    <w:p w:rsidR="00F85B8F" w:rsidRDefault="00F85B8F">
      <w:pPr>
        <w:rPr>
          <w:rFonts w:cstheme="minorHAnsi"/>
          <w:sz w:val="24"/>
          <w:szCs w:val="24"/>
        </w:rPr>
      </w:pPr>
    </w:p>
    <w:p w:rsidR="00F85B8F" w:rsidRPr="00F85B8F" w:rsidRDefault="00F85B8F">
      <w:pPr>
        <w:rPr>
          <w:rFonts w:cstheme="minorHAnsi"/>
          <w:b/>
          <w:sz w:val="24"/>
          <w:szCs w:val="24"/>
        </w:rPr>
      </w:pPr>
      <w:r w:rsidRPr="00F85B8F">
        <w:rPr>
          <w:rFonts w:cstheme="minorHAnsi"/>
          <w:b/>
          <w:sz w:val="24"/>
          <w:szCs w:val="24"/>
        </w:rPr>
        <w:t xml:space="preserve">REFERENCES </w:t>
      </w:r>
    </w:p>
    <w:p w:rsidR="00F85B8F" w:rsidRDefault="00F85B8F">
      <w:pPr>
        <w:rPr>
          <w:rFonts w:cstheme="minorHAnsi"/>
          <w:sz w:val="24"/>
          <w:szCs w:val="24"/>
        </w:rPr>
      </w:pPr>
      <w:hyperlink r:id="rId7" w:history="1">
        <w:r w:rsidRPr="00683946">
          <w:rPr>
            <w:rStyle w:val="Hyperlink"/>
            <w:rFonts w:cstheme="minorHAnsi"/>
            <w:sz w:val="24"/>
            <w:szCs w:val="24"/>
          </w:rPr>
          <w:t>https://www.iso.org/obp/ui/#iso:std:iec:tr:80001:-2-2:ed-1:v1:en</w:t>
        </w:r>
      </w:hyperlink>
    </w:p>
    <w:p w:rsidR="00F85B8F" w:rsidRDefault="00D12728">
      <w:pPr>
        <w:rPr>
          <w:rFonts w:cstheme="minorHAnsi"/>
          <w:sz w:val="24"/>
          <w:szCs w:val="24"/>
        </w:rPr>
      </w:pPr>
      <w:hyperlink r:id="rId8" w:history="1">
        <w:r w:rsidRPr="00683946">
          <w:rPr>
            <w:rStyle w:val="Hyperlink"/>
            <w:rFonts w:cstheme="minorHAnsi"/>
            <w:sz w:val="24"/>
            <w:szCs w:val="24"/>
          </w:rPr>
          <w:t>https://www.sciencedirect.com/science/article/abs/pii/S0920548917302313</w:t>
        </w:r>
      </w:hyperlink>
    </w:p>
    <w:p w:rsidR="00D12728" w:rsidRDefault="00D12728">
      <w:pPr>
        <w:rPr>
          <w:rFonts w:cstheme="minorHAnsi"/>
          <w:sz w:val="24"/>
          <w:szCs w:val="24"/>
        </w:rPr>
      </w:pPr>
      <w:hyperlink r:id="rId9" w:history="1">
        <w:r w:rsidRPr="00683946">
          <w:rPr>
            <w:rStyle w:val="Hyperlink"/>
            <w:rFonts w:cstheme="minorHAnsi"/>
            <w:sz w:val="24"/>
            <w:szCs w:val="24"/>
          </w:rPr>
          <w:t>https://www.iso.org/standard/69355.html</w:t>
        </w:r>
      </w:hyperlink>
    </w:p>
    <w:p w:rsidR="00D12728" w:rsidRDefault="00D12728">
      <w:pPr>
        <w:rPr>
          <w:rFonts w:cstheme="minorHAnsi"/>
          <w:sz w:val="24"/>
          <w:szCs w:val="24"/>
        </w:rPr>
      </w:pPr>
      <w:hyperlink r:id="rId10" w:history="1">
        <w:r w:rsidRPr="00683946">
          <w:rPr>
            <w:rStyle w:val="Hyperlink"/>
            <w:rFonts w:cstheme="minorHAnsi"/>
            <w:sz w:val="24"/>
            <w:szCs w:val="24"/>
          </w:rPr>
          <w:t>https://www.accessdata.fda.gov/scripts/cdrh/cfdocs/cfStandards/detail.cfm?standard__identification_no=36409</w:t>
        </w:r>
      </w:hyperlink>
    </w:p>
    <w:p w:rsidR="00D12728" w:rsidRDefault="00D12728">
      <w:pPr>
        <w:rPr>
          <w:rFonts w:cstheme="minorHAnsi"/>
          <w:sz w:val="24"/>
          <w:szCs w:val="24"/>
        </w:rPr>
      </w:pPr>
    </w:p>
    <w:p w:rsidR="00F85B8F" w:rsidRPr="00F85B8F" w:rsidRDefault="00F85B8F">
      <w:pPr>
        <w:rPr>
          <w:rFonts w:cstheme="minorHAnsi"/>
          <w:sz w:val="24"/>
          <w:szCs w:val="24"/>
        </w:rPr>
      </w:pPr>
    </w:p>
    <w:sectPr w:rsidR="00F85B8F" w:rsidRPr="00F85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F27566"/>
    <w:multiLevelType w:val="hybridMultilevel"/>
    <w:tmpl w:val="C7383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0733FC"/>
    <w:multiLevelType w:val="multilevel"/>
    <w:tmpl w:val="03808506"/>
    <w:lvl w:ilvl="0">
      <w:start w:val="1"/>
      <w:numFmt w:val="bullet"/>
      <w:lvlText w:val=""/>
      <w:lvlJc w:val="left"/>
      <w:pPr>
        <w:tabs>
          <w:tab w:val="num" w:pos="1296"/>
        </w:tabs>
        <w:ind w:left="129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16"/>
        </w:tabs>
        <w:ind w:left="201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56"/>
        </w:tabs>
        <w:ind w:left="345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76"/>
        </w:tabs>
        <w:ind w:left="417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16"/>
        </w:tabs>
        <w:ind w:left="561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36"/>
        </w:tabs>
        <w:ind w:left="633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  <w:sz w:val="20"/>
      </w:rPr>
    </w:lvl>
  </w:abstractNum>
  <w:abstractNum w:abstractNumId="2">
    <w:nsid w:val="54050FB0"/>
    <w:multiLevelType w:val="hybridMultilevel"/>
    <w:tmpl w:val="177EB8A4"/>
    <w:lvl w:ilvl="0" w:tplc="4009000F">
      <w:start w:val="1"/>
      <w:numFmt w:val="decimal"/>
      <w:lvlText w:val="%1."/>
      <w:lvlJc w:val="left"/>
      <w:pPr>
        <w:ind w:left="2309" w:hanging="360"/>
      </w:pPr>
    </w:lvl>
    <w:lvl w:ilvl="1" w:tplc="40090019" w:tentative="1">
      <w:start w:val="1"/>
      <w:numFmt w:val="lowerLetter"/>
      <w:lvlText w:val="%2."/>
      <w:lvlJc w:val="left"/>
      <w:pPr>
        <w:ind w:left="3029" w:hanging="360"/>
      </w:pPr>
    </w:lvl>
    <w:lvl w:ilvl="2" w:tplc="4009001B" w:tentative="1">
      <w:start w:val="1"/>
      <w:numFmt w:val="lowerRoman"/>
      <w:lvlText w:val="%3."/>
      <w:lvlJc w:val="right"/>
      <w:pPr>
        <w:ind w:left="3749" w:hanging="180"/>
      </w:pPr>
    </w:lvl>
    <w:lvl w:ilvl="3" w:tplc="4009000F" w:tentative="1">
      <w:start w:val="1"/>
      <w:numFmt w:val="decimal"/>
      <w:lvlText w:val="%4."/>
      <w:lvlJc w:val="left"/>
      <w:pPr>
        <w:ind w:left="4469" w:hanging="360"/>
      </w:pPr>
    </w:lvl>
    <w:lvl w:ilvl="4" w:tplc="40090019" w:tentative="1">
      <w:start w:val="1"/>
      <w:numFmt w:val="lowerLetter"/>
      <w:lvlText w:val="%5."/>
      <w:lvlJc w:val="left"/>
      <w:pPr>
        <w:ind w:left="5189" w:hanging="360"/>
      </w:pPr>
    </w:lvl>
    <w:lvl w:ilvl="5" w:tplc="4009001B" w:tentative="1">
      <w:start w:val="1"/>
      <w:numFmt w:val="lowerRoman"/>
      <w:lvlText w:val="%6."/>
      <w:lvlJc w:val="right"/>
      <w:pPr>
        <w:ind w:left="5909" w:hanging="180"/>
      </w:pPr>
    </w:lvl>
    <w:lvl w:ilvl="6" w:tplc="4009000F" w:tentative="1">
      <w:start w:val="1"/>
      <w:numFmt w:val="decimal"/>
      <w:lvlText w:val="%7."/>
      <w:lvlJc w:val="left"/>
      <w:pPr>
        <w:ind w:left="6629" w:hanging="360"/>
      </w:pPr>
    </w:lvl>
    <w:lvl w:ilvl="7" w:tplc="40090019" w:tentative="1">
      <w:start w:val="1"/>
      <w:numFmt w:val="lowerLetter"/>
      <w:lvlText w:val="%8."/>
      <w:lvlJc w:val="left"/>
      <w:pPr>
        <w:ind w:left="7349" w:hanging="360"/>
      </w:pPr>
    </w:lvl>
    <w:lvl w:ilvl="8" w:tplc="4009001B" w:tentative="1">
      <w:start w:val="1"/>
      <w:numFmt w:val="lowerRoman"/>
      <w:lvlText w:val="%9."/>
      <w:lvlJc w:val="right"/>
      <w:pPr>
        <w:ind w:left="8069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9A0"/>
    <w:rsid w:val="000E1C6C"/>
    <w:rsid w:val="00A03947"/>
    <w:rsid w:val="00D12728"/>
    <w:rsid w:val="00DE09A0"/>
    <w:rsid w:val="00F8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CBFAE8-E08C-4C8D-88B9-54F78457C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E1C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1C6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Emphasis">
    <w:name w:val="Emphasis"/>
    <w:basedOn w:val="DefaultParagraphFont"/>
    <w:uiPriority w:val="20"/>
    <w:qFormat/>
    <w:rsid w:val="000E1C6C"/>
    <w:rPr>
      <w:i/>
      <w:iCs/>
    </w:rPr>
  </w:style>
  <w:style w:type="character" w:styleId="Hyperlink">
    <w:name w:val="Hyperlink"/>
    <w:basedOn w:val="DefaultParagraphFont"/>
    <w:uiPriority w:val="99"/>
    <w:unhideWhenUsed/>
    <w:rsid w:val="00F85B8F"/>
    <w:rPr>
      <w:color w:val="0000FF"/>
      <w:u w:val="single"/>
    </w:rPr>
  </w:style>
  <w:style w:type="character" w:customStyle="1" w:styleId="sts-label">
    <w:name w:val="sts-label"/>
    <w:basedOn w:val="DefaultParagraphFont"/>
    <w:rsid w:val="00F85B8F"/>
  </w:style>
  <w:style w:type="paragraph" w:styleId="ListParagraph">
    <w:name w:val="List Paragraph"/>
    <w:basedOn w:val="Normal"/>
    <w:uiPriority w:val="34"/>
    <w:qFormat/>
    <w:rsid w:val="00F85B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55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83708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66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99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4552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27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7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abs/pii/S092054891730231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so.org/obp/ui/#iso:std:iec:tr:80001:-2-2:ed-1:v1:e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www.accessdata.fda.gov/scripts/cdrh/cfdocs/cfStandards/detail.cfm?standard__identification_no=3640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so.org/standard/69355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 Ramojwar</dc:creator>
  <cp:keywords/>
  <dc:description/>
  <cp:lastModifiedBy>Madhura Ramojwar</cp:lastModifiedBy>
  <cp:revision>1</cp:revision>
  <dcterms:created xsi:type="dcterms:W3CDTF">2021-03-31T06:55:00Z</dcterms:created>
  <dcterms:modified xsi:type="dcterms:W3CDTF">2021-03-31T09:24:00Z</dcterms:modified>
</cp:coreProperties>
</file>