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1F58A34" w14:textId="6598132B" w:rsidR="00F05BCC" w:rsidRDefault="00F05BCC" w:rsidP="00F05BCC">
      <w:pPr>
        <w:shd w:val="clear" w:color="auto" w:fill="FFFFFF"/>
        <w:spacing w:after="225" w:line="240" w:lineRule="auto"/>
        <w:jc w:val="center"/>
        <w:outlineLvl w:val="0"/>
        <w:rPr>
          <w:rFonts w:ascii="Helvetica" w:eastAsia="Times New Roman" w:hAnsi="Helvetica" w:cs="Times New Roman"/>
          <w:b/>
          <w:bCs/>
          <w:color w:val="333333"/>
          <w:kern w:val="36"/>
          <w:sz w:val="48"/>
          <w:szCs w:val="48"/>
        </w:rPr>
      </w:pPr>
      <w:r w:rsidRPr="00F05BCC">
        <w:rPr>
          <w:rFonts w:ascii="Helvetica" w:eastAsia="Times New Roman" w:hAnsi="Helvetica" w:cs="Times New Roman"/>
          <w:b/>
          <w:bCs/>
          <w:color w:val="333333"/>
          <w:kern w:val="36"/>
          <w:sz w:val="48"/>
          <w:szCs w:val="48"/>
        </w:rPr>
        <w:t>Software as a Medical Device (</w:t>
      </w:r>
      <w:proofErr w:type="spellStart"/>
      <w:r w:rsidRPr="00F05BCC">
        <w:rPr>
          <w:rFonts w:ascii="Helvetica" w:eastAsia="Times New Roman" w:hAnsi="Helvetica" w:cs="Times New Roman"/>
          <w:b/>
          <w:bCs/>
          <w:color w:val="333333"/>
          <w:kern w:val="36"/>
          <w:sz w:val="48"/>
          <w:szCs w:val="48"/>
        </w:rPr>
        <w:t>SaMD</w:t>
      </w:r>
      <w:proofErr w:type="spellEnd"/>
      <w:r w:rsidRPr="00F05BCC">
        <w:rPr>
          <w:rFonts w:ascii="Helvetica" w:eastAsia="Times New Roman" w:hAnsi="Helvetica" w:cs="Times New Roman"/>
          <w:b/>
          <w:bCs/>
          <w:color w:val="333333"/>
          <w:kern w:val="36"/>
          <w:sz w:val="48"/>
          <w:szCs w:val="48"/>
        </w:rPr>
        <w:t>)</w:t>
      </w:r>
    </w:p>
    <w:p w14:paraId="16245827" w14:textId="536F6376" w:rsidR="00F05BCC" w:rsidRPr="00F05BCC" w:rsidRDefault="00F05BCC" w:rsidP="00F05BCC">
      <w:pPr>
        <w:shd w:val="clear" w:color="auto" w:fill="FFFFFF"/>
        <w:spacing w:after="225" w:line="240" w:lineRule="auto"/>
        <w:outlineLvl w:val="0"/>
        <w:rPr>
          <w:rFonts w:ascii="Helvetica" w:eastAsia="Times New Roman" w:hAnsi="Helvetica" w:cs="Times New Roman"/>
          <w:b/>
          <w:bCs/>
          <w:color w:val="333333"/>
          <w:kern w:val="36"/>
          <w:sz w:val="48"/>
          <w:szCs w:val="48"/>
        </w:rPr>
      </w:pPr>
      <w:r>
        <w:rPr>
          <w:rFonts w:ascii="Arial" w:hAnsi="Arial" w:cs="Arial"/>
          <w:b/>
          <w:bCs/>
          <w:color w:val="202124"/>
          <w:shd w:val="clear" w:color="auto" w:fill="FFFFFF"/>
        </w:rPr>
        <w:t>The Top 5 Medical Office Software Systems?</w:t>
      </w:r>
    </w:p>
    <w:p w14:paraId="7EC41A01" w14:textId="77777777" w:rsidR="00F05BCC" w:rsidRDefault="00F05BCC" w:rsidP="00F05BCC">
      <w:pPr>
        <w:pStyle w:val="trt0xe"/>
        <w:numPr>
          <w:ilvl w:val="0"/>
          <w:numId w:val="1"/>
        </w:numPr>
        <w:shd w:val="clear" w:color="auto" w:fill="FFFFFF"/>
        <w:spacing w:before="0" w:beforeAutospacing="0" w:after="60" w:afterAutospacing="0"/>
        <w:rPr>
          <w:rFonts w:ascii="Arial" w:hAnsi="Arial" w:cs="Arial"/>
          <w:color w:val="202124"/>
        </w:rPr>
      </w:pPr>
      <w:r>
        <w:rPr>
          <w:rFonts w:ascii="Arial" w:hAnsi="Arial" w:cs="Arial"/>
          <w:b/>
          <w:bCs/>
          <w:color w:val="202124"/>
        </w:rPr>
        <w:t>Electronic Health Record</w:t>
      </w:r>
      <w:r>
        <w:rPr>
          <w:rFonts w:ascii="Arial" w:hAnsi="Arial" w:cs="Arial"/>
          <w:color w:val="202124"/>
        </w:rPr>
        <w:t xml:space="preserve"> (EHR) Software. Client record keeping is important for any business, but for medical offices, </w:t>
      </w:r>
      <w:proofErr w:type="gramStart"/>
      <w:r>
        <w:rPr>
          <w:rFonts w:ascii="Arial" w:hAnsi="Arial" w:cs="Arial"/>
          <w:color w:val="202124"/>
        </w:rPr>
        <w:t>it's</w:t>
      </w:r>
      <w:proofErr w:type="gramEnd"/>
      <w:r>
        <w:rPr>
          <w:rFonts w:ascii="Arial" w:hAnsi="Arial" w:cs="Arial"/>
          <w:color w:val="202124"/>
        </w:rPr>
        <w:t xml:space="preserve"> an absolute necessity. ...</w:t>
      </w:r>
    </w:p>
    <w:p w14:paraId="44268755" w14:textId="77777777" w:rsidR="00F05BCC" w:rsidRDefault="00F05BCC" w:rsidP="00F05BCC">
      <w:pPr>
        <w:pStyle w:val="trt0xe"/>
        <w:numPr>
          <w:ilvl w:val="0"/>
          <w:numId w:val="1"/>
        </w:numPr>
        <w:shd w:val="clear" w:color="auto" w:fill="FFFFFF"/>
        <w:spacing w:before="0" w:beforeAutospacing="0" w:after="60" w:afterAutospacing="0"/>
        <w:rPr>
          <w:rFonts w:ascii="Arial" w:hAnsi="Arial" w:cs="Arial"/>
          <w:color w:val="202124"/>
        </w:rPr>
      </w:pPr>
      <w:r>
        <w:rPr>
          <w:rFonts w:ascii="Arial" w:hAnsi="Arial" w:cs="Arial"/>
          <w:color w:val="202124"/>
        </w:rPr>
        <w:t>Medical Billing and </w:t>
      </w:r>
      <w:r>
        <w:rPr>
          <w:rFonts w:ascii="Arial" w:hAnsi="Arial" w:cs="Arial"/>
          <w:b/>
          <w:bCs/>
          <w:color w:val="202124"/>
        </w:rPr>
        <w:t>Collections Software</w:t>
      </w:r>
      <w:r>
        <w:rPr>
          <w:rFonts w:ascii="Arial" w:hAnsi="Arial" w:cs="Arial"/>
          <w:color w:val="202124"/>
        </w:rPr>
        <w:t>. ...</w:t>
      </w:r>
    </w:p>
    <w:p w14:paraId="1522A22C" w14:textId="77777777" w:rsidR="00F05BCC" w:rsidRDefault="00F05BCC" w:rsidP="00F05BCC">
      <w:pPr>
        <w:pStyle w:val="trt0xe"/>
        <w:numPr>
          <w:ilvl w:val="0"/>
          <w:numId w:val="1"/>
        </w:numPr>
        <w:shd w:val="clear" w:color="auto" w:fill="FFFFFF"/>
        <w:spacing w:before="0" w:beforeAutospacing="0" w:after="60" w:afterAutospacing="0"/>
        <w:rPr>
          <w:rFonts w:ascii="Arial" w:hAnsi="Arial" w:cs="Arial"/>
          <w:color w:val="202124"/>
        </w:rPr>
      </w:pPr>
      <w:r>
        <w:rPr>
          <w:rFonts w:ascii="Arial" w:hAnsi="Arial" w:cs="Arial"/>
          <w:color w:val="202124"/>
        </w:rPr>
        <w:t>Patient Scheduling Software. ...</w:t>
      </w:r>
    </w:p>
    <w:p w14:paraId="6CB420BD" w14:textId="77777777" w:rsidR="00F05BCC" w:rsidRDefault="00F05BCC" w:rsidP="00F05BCC">
      <w:pPr>
        <w:pStyle w:val="trt0xe"/>
        <w:numPr>
          <w:ilvl w:val="0"/>
          <w:numId w:val="1"/>
        </w:numPr>
        <w:shd w:val="clear" w:color="auto" w:fill="FFFFFF"/>
        <w:spacing w:before="0" w:beforeAutospacing="0" w:after="60" w:afterAutospacing="0"/>
        <w:rPr>
          <w:rFonts w:ascii="Arial" w:hAnsi="Arial" w:cs="Arial"/>
          <w:color w:val="202124"/>
        </w:rPr>
      </w:pPr>
      <w:r>
        <w:rPr>
          <w:rFonts w:ascii="Arial" w:hAnsi="Arial" w:cs="Arial"/>
          <w:b/>
          <w:bCs/>
          <w:color w:val="202124"/>
        </w:rPr>
        <w:t>Practice Management Software</w:t>
      </w:r>
      <w:r>
        <w:rPr>
          <w:rFonts w:ascii="Arial" w:hAnsi="Arial" w:cs="Arial"/>
          <w:color w:val="202124"/>
        </w:rPr>
        <w:t>. ...</w:t>
      </w:r>
    </w:p>
    <w:p w14:paraId="5558D9B0" w14:textId="77777777" w:rsidR="00F05BCC" w:rsidRDefault="00F05BCC" w:rsidP="00F05BCC">
      <w:pPr>
        <w:pStyle w:val="trt0xe"/>
        <w:numPr>
          <w:ilvl w:val="0"/>
          <w:numId w:val="1"/>
        </w:numPr>
        <w:shd w:val="clear" w:color="auto" w:fill="FFFFFF"/>
        <w:spacing w:before="0" w:beforeAutospacing="0" w:after="60" w:afterAutospacing="0"/>
        <w:rPr>
          <w:rFonts w:ascii="Arial" w:hAnsi="Arial" w:cs="Arial"/>
          <w:color w:val="202124"/>
        </w:rPr>
      </w:pPr>
      <w:r>
        <w:rPr>
          <w:rFonts w:ascii="Arial" w:hAnsi="Arial" w:cs="Arial"/>
          <w:color w:val="202124"/>
        </w:rPr>
        <w:t>Clinical Documentation Software</w:t>
      </w:r>
    </w:p>
    <w:p w14:paraId="2FCE3E1B" w14:textId="77777777" w:rsidR="00F05BCC" w:rsidRDefault="00F05BCC"/>
    <w:p w14:paraId="7F214650" w14:textId="77777777" w:rsidR="00F05BCC" w:rsidRDefault="00F05BCC"/>
    <w:p w14:paraId="42E05463" w14:textId="1221AA71" w:rsidR="00F05BCC" w:rsidRDefault="00F05BCC">
      <w:r>
        <w:t xml:space="preserve">Diagnostic </w:t>
      </w:r>
      <w:proofErr w:type="spellStart"/>
      <w:r>
        <w:t>SaMD</w:t>
      </w:r>
      <w:proofErr w:type="spellEnd"/>
      <w:r>
        <w:t xml:space="preserve">: These </w:t>
      </w:r>
      <w:proofErr w:type="spellStart"/>
      <w:r>
        <w:t>SaMD</w:t>
      </w:r>
      <w:proofErr w:type="spellEnd"/>
      <w:r>
        <w:t xml:space="preserve"> typically differentiate patients or their physiological 527 conditions and are intended to drive clinical management and / or diagnose. Such </w:t>
      </w:r>
      <w:proofErr w:type="spellStart"/>
      <w:r>
        <w:t>SaMD</w:t>
      </w:r>
      <w:proofErr w:type="spellEnd"/>
      <w:r>
        <w:t xml:space="preserve"> 528 are typically intended to identify early signs, triage, predict risk, screen, detect or 529 diagnose a healthcare situation or condition. </w:t>
      </w:r>
    </w:p>
    <w:p w14:paraId="1E2D9653" w14:textId="0058CBC0" w:rsidR="00062A75" w:rsidRDefault="00F05BCC">
      <w:r>
        <w:t xml:space="preserve">Non-diagnostic </w:t>
      </w:r>
      <w:proofErr w:type="spellStart"/>
      <w:r>
        <w:t>SaMD</w:t>
      </w:r>
      <w:proofErr w:type="spellEnd"/>
      <w:r>
        <w:t xml:space="preserve">: These </w:t>
      </w:r>
      <w:proofErr w:type="spellStart"/>
      <w:r>
        <w:t>SaMD</w:t>
      </w:r>
      <w:proofErr w:type="spellEnd"/>
      <w:r>
        <w:t xml:space="preserve"> have generic functionality that can be used across 531 various health care situations or conditions. Such </w:t>
      </w:r>
      <w:proofErr w:type="spellStart"/>
      <w:r>
        <w:t>SaMD</w:t>
      </w:r>
      <w:proofErr w:type="spellEnd"/>
      <w:r>
        <w:t xml:space="preserve"> typically provide data to help aid 532 in diagnosis, aid in treatment, inform of options. Examples of such </w:t>
      </w:r>
      <w:proofErr w:type="spellStart"/>
      <w:r>
        <w:t>SaMD</w:t>
      </w:r>
      <w:proofErr w:type="spellEnd"/>
      <w:r>
        <w:t xml:space="preserve"> include 533 calculators (radiation treatment planning </w:t>
      </w:r>
      <w:proofErr w:type="spellStart"/>
      <w:r>
        <w:t>SaMD</w:t>
      </w:r>
      <w:proofErr w:type="spellEnd"/>
      <w:r>
        <w:t>), search and match, filter, user defined 534 rules based matching, processing a signal (e.g., spectral analysis of a sound signal), a 535 memory test that gives a score but no interpretation</w:t>
      </w:r>
      <w:r>
        <w:t>.</w:t>
      </w:r>
    </w:p>
    <w:p w14:paraId="698D3753" w14:textId="69905C4B" w:rsidR="00F05BCC" w:rsidRDefault="00F05BCC"/>
    <w:p w14:paraId="62319C1C" w14:textId="7BA295BB" w:rsidR="00F05BCC" w:rsidRDefault="00F05BCC">
      <w:r>
        <w:t xml:space="preserve">appraisal of the evidence generated from clinical evaluation should address the 800 relevance and quality of all </w:t>
      </w:r>
      <w:proofErr w:type="spellStart"/>
      <w:r>
        <w:t>SaMD</w:t>
      </w:r>
      <w:proofErr w:type="spellEnd"/>
      <w:r>
        <w:t xml:space="preserve"> aspects including the following: 801 </w:t>
      </w:r>
      <w:r>
        <w:sym w:font="Symbol" w:char="F0B7"/>
      </w:r>
      <w:r>
        <w:t xml:space="preserve"> </w:t>
      </w:r>
      <w:proofErr w:type="spellStart"/>
      <w:r>
        <w:t>SaMD</w:t>
      </w:r>
      <w:proofErr w:type="spellEnd"/>
      <w:r>
        <w:t xml:space="preserve"> definition statement; 802 </w:t>
      </w:r>
      <w:r>
        <w:sym w:font="Symbol" w:char="F0B7"/>
      </w:r>
      <w:r>
        <w:t xml:space="preserve"> Risk assessment and associated documentation; 803 </w:t>
      </w:r>
      <w:r>
        <w:sym w:font="Symbol" w:char="F0B7"/>
      </w:r>
      <w:r>
        <w:t xml:space="preserve"> Labelling including claims, warning, limitations, contraindications, etc.; 804 </w:t>
      </w:r>
      <w:r>
        <w:sym w:font="Symbol" w:char="F0B7"/>
      </w:r>
      <w:r>
        <w:t xml:space="preserve"> </w:t>
      </w:r>
      <w:proofErr w:type="spellStart"/>
      <w:r>
        <w:t>SaMD</w:t>
      </w:r>
      <w:proofErr w:type="spellEnd"/>
      <w:r>
        <w:t xml:space="preserve"> requirements in the QMS system; and 805 </w:t>
      </w:r>
      <w:r>
        <w:sym w:font="Symbol" w:char="F0B7"/>
      </w:r>
      <w:r>
        <w:t xml:space="preserve"> Verification and validation.</w:t>
      </w:r>
    </w:p>
    <w:p w14:paraId="27572D35" w14:textId="566E10E9" w:rsidR="00F05BCC" w:rsidRDefault="00F05BCC"/>
    <w:p w14:paraId="578B9F7F" w14:textId="2272B7B6" w:rsidR="00F05BCC" w:rsidRDefault="00F05BCC"/>
    <w:p w14:paraId="25FE7C2A" w14:textId="2EEE0FD4" w:rsidR="00F05BCC" w:rsidRDefault="00F05BCC"/>
    <w:p w14:paraId="7DE2172C" w14:textId="659FE70C" w:rsidR="00F05BCC" w:rsidRDefault="00F05BCC"/>
    <w:p w14:paraId="426F9F23" w14:textId="4F38CB25" w:rsidR="00F05BCC" w:rsidRDefault="00F05BCC"/>
    <w:p w14:paraId="50D62494" w14:textId="42462F50" w:rsidR="00F05BCC" w:rsidRDefault="00F05BCC"/>
    <w:p w14:paraId="1991D8F8" w14:textId="0B3D71D2" w:rsidR="00F05BCC" w:rsidRDefault="00F05BCC"/>
    <w:p w14:paraId="4F4442F4" w14:textId="08C9774A" w:rsidR="00F05BCC" w:rsidRDefault="00F05BCC"/>
    <w:p w14:paraId="60BB4EA3" w14:textId="77777777" w:rsidR="00F05BCC" w:rsidRDefault="00F05BCC">
      <w:proofErr w:type="spellStart"/>
      <w:r>
        <w:lastRenderedPageBreak/>
        <w:t>SaMD</w:t>
      </w:r>
      <w:proofErr w:type="spellEnd"/>
      <w:r>
        <w:t xml:space="preserve"> in Category I</w:t>
      </w:r>
    </w:p>
    <w:p w14:paraId="718168F3" w14:textId="77777777" w:rsidR="00F05BCC" w:rsidRDefault="00F05BCC">
      <w:r>
        <w:t xml:space="preserve">For all </w:t>
      </w:r>
      <w:proofErr w:type="spellStart"/>
      <w:r>
        <w:t>SaMD</w:t>
      </w:r>
      <w:proofErr w:type="spellEnd"/>
      <w:r>
        <w:t xml:space="preserve"> in this category: 885 • Analytical validity evidence (generated through 886 verification and validation QMS activity) based on and 887 in conjunction with scientific validity information is 888 sufficient to demonstrate the clinical evaluation evidence 889 of the </w:t>
      </w:r>
      <w:proofErr w:type="spellStart"/>
      <w:r>
        <w:t>SaMD</w:t>
      </w:r>
      <w:proofErr w:type="spellEnd"/>
      <w:r>
        <w:t xml:space="preserve">. 890 • For Novel </w:t>
      </w:r>
      <w:proofErr w:type="spellStart"/>
      <w:r>
        <w:t>SaMD</w:t>
      </w:r>
      <w:proofErr w:type="spellEnd"/>
      <w:r>
        <w:t xml:space="preserve"> in this category: 891 • Manufacturers are expected to collect </w:t>
      </w:r>
      <w:proofErr w:type="gramStart"/>
      <w:r>
        <w:t>real world</w:t>
      </w:r>
      <w:proofErr w:type="gramEnd"/>
      <w:r>
        <w:t xml:space="preserve"> performance data to generate 892 scientific validity evidence in addition to analytical validity evidence (generated 893 through verification and validation QMS activity). 894 </w:t>
      </w:r>
    </w:p>
    <w:p w14:paraId="7C7424FE" w14:textId="77777777" w:rsidR="00F05BCC" w:rsidRDefault="00F05BCC">
      <w:proofErr w:type="spellStart"/>
      <w:r>
        <w:t>SaMD</w:t>
      </w:r>
      <w:proofErr w:type="spellEnd"/>
      <w:r>
        <w:t xml:space="preserve"> in Category II 895 • For all </w:t>
      </w:r>
      <w:proofErr w:type="spellStart"/>
      <w:r>
        <w:t>SaMD</w:t>
      </w:r>
      <w:proofErr w:type="spellEnd"/>
      <w:r>
        <w:t xml:space="preserve"> except for category </w:t>
      </w:r>
      <w:proofErr w:type="spellStart"/>
      <w:r>
        <w:t>II.ii</w:t>
      </w:r>
      <w:proofErr w:type="spellEnd"/>
      <w:r>
        <w:t xml:space="preserve">:, 896 • Analytical validity evidence (generated through 897 verification and validation QMS activity) based on and 898 in conjunction with scientific validity information is 899 sufficient to demonstrate the clinical evaluation 900 evidence of the </w:t>
      </w:r>
      <w:proofErr w:type="spellStart"/>
      <w:r>
        <w:t>SaMD</w:t>
      </w:r>
      <w:proofErr w:type="spellEnd"/>
      <w:r>
        <w:t xml:space="preserve">. 901 • For Diagnostic </w:t>
      </w:r>
    </w:p>
    <w:p w14:paraId="0EECEFFE" w14:textId="32BFA044" w:rsidR="00F05BCC" w:rsidRDefault="00F05BCC">
      <w:proofErr w:type="spellStart"/>
      <w:r>
        <w:t>SaMD</w:t>
      </w:r>
      <w:proofErr w:type="spellEnd"/>
      <w:r>
        <w:t xml:space="preserve"> in </w:t>
      </w:r>
      <w:proofErr w:type="spellStart"/>
      <w:r>
        <w:t>II.iii</w:t>
      </w:r>
      <w:proofErr w:type="spellEnd"/>
      <w:r>
        <w:t xml:space="preserve">: 902 • Clinical performance evidence is expected in addition to analytical validity and 903 scientific validity evidence. 904 • For Novel </w:t>
      </w:r>
      <w:proofErr w:type="spellStart"/>
      <w:r>
        <w:t>SaMD</w:t>
      </w:r>
      <w:proofErr w:type="spellEnd"/>
      <w:r>
        <w:t xml:space="preserve"> in this category: 905 • Manufacturers are expected to collect </w:t>
      </w:r>
      <w:proofErr w:type="gramStart"/>
      <w:r>
        <w:t>real world</w:t>
      </w:r>
      <w:proofErr w:type="gramEnd"/>
      <w:r>
        <w:t xml:space="preserve"> performance data to generate 906 scientific validity evidence in addition to analytical validity evidence (generated 907 through verification and validation QMS activity). 908 </w:t>
      </w:r>
    </w:p>
    <w:p w14:paraId="6875E864" w14:textId="0CA41CAE" w:rsidR="00F05BCC" w:rsidRDefault="00F05BCC">
      <w:proofErr w:type="spellStart"/>
      <w:r>
        <w:t>SaMD</w:t>
      </w:r>
      <w:proofErr w:type="spellEnd"/>
      <w:r>
        <w:t xml:space="preserve"> in Categories </w:t>
      </w:r>
      <w:proofErr w:type="spellStart"/>
      <w:r>
        <w:t>II.ii</w:t>
      </w:r>
      <w:proofErr w:type="spellEnd"/>
      <w:r>
        <w:t xml:space="preserve">, III and IV: 909 • For all </w:t>
      </w:r>
      <w:proofErr w:type="spellStart"/>
      <w:r>
        <w:t>SaMD</w:t>
      </w:r>
      <w:proofErr w:type="spellEnd"/>
      <w:r>
        <w:t xml:space="preserve"> in these categories (well-known or novel): 910 • Analytical validity evidence (generated through 911 verification and validation QMS activity) based on and 912 in conjunction with scientific validity information is 913 sufficient to demonstrate the clinical evaluation evidence 914 of the </w:t>
      </w:r>
      <w:proofErr w:type="spellStart"/>
      <w:r>
        <w:t>SaMD</w:t>
      </w:r>
      <w:proofErr w:type="spellEnd"/>
      <w:r>
        <w:t xml:space="preserve">. 915 • In circumstances where the scientific validity is novel, 916 manufacturers should generate appropriate association of the </w:t>
      </w:r>
      <w:proofErr w:type="spellStart"/>
      <w:r>
        <w:t>SaMD</w:t>
      </w:r>
      <w:proofErr w:type="spellEnd"/>
      <w:r>
        <w:t xml:space="preserve"> output to the 917 clinical condition/physiological state using approaches described in scientific validity 918 as described in Section 6.3. 919 • For Diagnostic </w:t>
      </w:r>
      <w:proofErr w:type="spellStart"/>
      <w:r>
        <w:t>SaMD</w:t>
      </w:r>
      <w:proofErr w:type="spellEnd"/>
      <w:r>
        <w:t xml:space="preserve"> in these categories: 920 • Clinical performance evidence is expected in addition to analytical validity and 921 scientific validity evidence.</w:t>
      </w:r>
    </w:p>
    <w:sectPr w:rsidR="00F05BC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821BE95" w14:textId="77777777" w:rsidR="00F05BCC" w:rsidRDefault="00F05BCC" w:rsidP="00F05BCC">
      <w:pPr>
        <w:spacing w:after="0" w:line="240" w:lineRule="auto"/>
      </w:pPr>
      <w:r>
        <w:separator/>
      </w:r>
    </w:p>
  </w:endnote>
  <w:endnote w:type="continuationSeparator" w:id="0">
    <w:p w14:paraId="3C52B61E" w14:textId="77777777" w:rsidR="00F05BCC" w:rsidRDefault="00F05BCC" w:rsidP="00F05B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Helvetica">
    <w:panose1 w:val="020B0604020202020204"/>
    <w:charset w:val="00"/>
    <w:family w:val="swiss"/>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C10149D" w14:textId="77777777" w:rsidR="00F05BCC" w:rsidRDefault="00F05BCC" w:rsidP="00F05BCC">
      <w:pPr>
        <w:spacing w:after="0" w:line="240" w:lineRule="auto"/>
      </w:pPr>
      <w:r>
        <w:separator/>
      </w:r>
    </w:p>
  </w:footnote>
  <w:footnote w:type="continuationSeparator" w:id="0">
    <w:p w14:paraId="3DCF471C" w14:textId="77777777" w:rsidR="00F05BCC" w:rsidRDefault="00F05BCC" w:rsidP="00F05BC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45C84FA0"/>
    <w:multiLevelType w:val="multilevel"/>
    <w:tmpl w:val="058AF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5BCC"/>
    <w:rsid w:val="00263986"/>
    <w:rsid w:val="00AB240C"/>
    <w:rsid w:val="00F05B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DEF0B6"/>
  <w15:chartTrackingRefBased/>
  <w15:docId w15:val="{8AD92DF5-DCC1-47BA-A89D-4456FABC96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F05BCC"/>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5BCC"/>
    <w:rPr>
      <w:rFonts w:ascii="Times New Roman" w:eastAsia="Times New Roman" w:hAnsi="Times New Roman" w:cs="Times New Roman"/>
      <w:b/>
      <w:bCs/>
      <w:kern w:val="36"/>
      <w:sz w:val="48"/>
      <w:szCs w:val="48"/>
    </w:rPr>
  </w:style>
  <w:style w:type="paragraph" w:customStyle="1" w:styleId="trt0xe">
    <w:name w:val="trt0xe"/>
    <w:basedOn w:val="Normal"/>
    <w:rsid w:val="00F05BCC"/>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883127255">
      <w:bodyDiv w:val="1"/>
      <w:marLeft w:val="0"/>
      <w:marRight w:val="0"/>
      <w:marTop w:val="0"/>
      <w:marBottom w:val="0"/>
      <w:divBdr>
        <w:top w:val="none" w:sz="0" w:space="0" w:color="auto"/>
        <w:left w:val="none" w:sz="0" w:space="0" w:color="auto"/>
        <w:bottom w:val="none" w:sz="0" w:space="0" w:color="auto"/>
        <w:right w:val="none" w:sz="0" w:space="0" w:color="auto"/>
      </w:divBdr>
    </w:div>
    <w:div w:id="19802578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2</Pages>
  <Words>555</Words>
  <Characters>3168</Characters>
  <Application>Microsoft Office Word</Application>
  <DocSecurity>0</DocSecurity>
  <Lines>26</Lines>
  <Paragraphs>7</Paragraphs>
  <ScaleCrop>false</ScaleCrop>
  <Company/>
  <LinksUpToDate>false</LinksUpToDate>
  <CharactersWithSpaces>3716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Madhura Ramojwar</dc:creator>
  <cp:keywords/>
  <dc:description/>
  <cp:lastModifiedBy>Madhura Ramojwar</cp:lastModifiedBy>
  <cp:revision>1</cp:revision>
  <dcterms:created xsi:type="dcterms:W3CDTF">2021-02-11T12:50:00Z</dcterms:created>
  <dcterms:modified xsi:type="dcterms:W3CDTF">2021-02-11T13:08:00Z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b5591f2-6b23-403d-aa5f-b6d577f5e572_Enabled">
    <vt:lpwstr>true</vt:lpwstr>
  </property>
  <property fmtid="{D5CDD505-2E9C-101B-9397-08002B2CF9AE}" pid="3" name="MSIP_Label_4b5591f2-6b23-403d-aa5f-b6d577f5e572_SetDate">
    <vt:lpwstr>2021-02-11T13:08:59Z</vt:lpwstr>
  </property>
  <property fmtid="{D5CDD505-2E9C-101B-9397-08002B2CF9AE}" pid="4" name="MSIP_Label_4b5591f2-6b23-403d-aa5f-b6d577f5e572_Method">
    <vt:lpwstr>Standard</vt:lpwstr>
  </property>
  <property fmtid="{D5CDD505-2E9C-101B-9397-08002B2CF9AE}" pid="5" name="MSIP_Label_4b5591f2-6b23-403d-aa5f-b6d577f5e572_Name">
    <vt:lpwstr>4b5591f2-6b23-403d-aa5f-b6d577f5e572</vt:lpwstr>
  </property>
  <property fmtid="{D5CDD505-2E9C-101B-9397-08002B2CF9AE}" pid="6" name="MSIP_Label_4b5591f2-6b23-403d-aa5f-b6d577f5e572_SiteId">
    <vt:lpwstr>311b3378-8e8a-4b5e-a33f-e80a3d8ba60a</vt:lpwstr>
  </property>
  <property fmtid="{D5CDD505-2E9C-101B-9397-08002B2CF9AE}" pid="7" name="MSIP_Label_4b5591f2-6b23-403d-aa5f-b6d577f5e572_ActionId">
    <vt:lpwstr>cc81ddf7-b8ee-4f49-84a8-0000be7aa479</vt:lpwstr>
  </property>
  <property fmtid="{D5CDD505-2E9C-101B-9397-08002B2CF9AE}" pid="8" name="MSIP_Label_4b5591f2-6b23-403d-aa5f-b6d577f5e572_ContentBits">
    <vt:lpwstr>0</vt:lpwstr>
  </property>
</Properties>
</file>