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D9E97F" w14:textId="3B350F21" w:rsidR="00062A75" w:rsidRPr="008B1DFD" w:rsidRDefault="00353CEC" w:rsidP="00353CEC">
      <w:pPr>
        <w:pStyle w:val="ListParagraph"/>
        <w:numPr>
          <w:ilvl w:val="0"/>
          <w:numId w:val="1"/>
        </w:numPr>
        <w:rPr>
          <w:rFonts w:asciiTheme="majorHAnsi" w:hAnsiTheme="majorHAnsi" w:cstheme="majorHAnsi"/>
          <w:b/>
          <w:bCs/>
          <w:color w:val="000000" w:themeColor="text1"/>
          <w:sz w:val="24"/>
          <w:szCs w:val="24"/>
          <w:u w:val="single"/>
        </w:rPr>
      </w:pPr>
      <w:bookmarkStart w:id="0" w:name="_Hlk67302897"/>
      <w:r w:rsidRPr="008B1DFD">
        <w:rPr>
          <w:rFonts w:asciiTheme="majorHAnsi" w:hAnsiTheme="majorHAnsi" w:cstheme="majorHAnsi"/>
          <w:b/>
          <w:bCs/>
          <w:color w:val="000000" w:themeColor="text1"/>
          <w:sz w:val="24"/>
          <w:szCs w:val="24"/>
          <w:u w:val="single"/>
        </w:rPr>
        <w:t xml:space="preserve">HIPAA – HEALTH INSURACE PORTABILITY </w:t>
      </w:r>
      <w:r w:rsidR="00E94810" w:rsidRPr="008B1DFD">
        <w:rPr>
          <w:rFonts w:asciiTheme="majorHAnsi" w:hAnsiTheme="majorHAnsi" w:cstheme="majorHAnsi"/>
          <w:b/>
          <w:bCs/>
          <w:color w:val="000000" w:themeColor="text1"/>
          <w:sz w:val="24"/>
          <w:szCs w:val="24"/>
          <w:u w:val="single"/>
        </w:rPr>
        <w:t>AND ACCOUNTABILITY ACT</w:t>
      </w:r>
    </w:p>
    <w:p w14:paraId="7D922B0B" w14:textId="7973411C" w:rsidR="006A6F4E" w:rsidRPr="008B1DFD" w:rsidRDefault="006A6F4E" w:rsidP="006A6F4E">
      <w:pPr>
        <w:ind w:left="720"/>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shd w:val="clear" w:color="auto" w:fill="FFFFFF"/>
        </w:rPr>
        <w:t>HIPAA is an information security standard aimed to protect patient data healthcare organizations are entrusted with. It is closely regulated by the Office for Civil Rights (OCR).</w:t>
      </w:r>
    </w:p>
    <w:p w14:paraId="5DF65542" w14:textId="77777777" w:rsidR="006A6F4E" w:rsidRPr="008B1DFD" w:rsidRDefault="00385A17" w:rsidP="006A6F4E">
      <w:pPr>
        <w:shd w:val="clear" w:color="auto" w:fill="FFFFFF"/>
        <w:spacing w:before="120" w:after="120" w:line="240" w:lineRule="auto"/>
        <w:ind w:firstLine="720"/>
        <w:jc w:val="both"/>
        <w:rPr>
          <w:rFonts w:asciiTheme="majorHAnsi" w:eastAsia="Times New Roman" w:hAnsiTheme="majorHAnsi" w:cstheme="majorHAnsi"/>
          <w:color w:val="000000" w:themeColor="text1"/>
          <w:sz w:val="24"/>
          <w:szCs w:val="24"/>
        </w:rPr>
      </w:pPr>
      <w:r w:rsidRPr="00385A17">
        <w:rPr>
          <w:rFonts w:asciiTheme="majorHAnsi" w:eastAsia="Times New Roman" w:hAnsiTheme="majorHAnsi" w:cstheme="majorHAnsi"/>
          <w:color w:val="000000" w:themeColor="text1"/>
          <w:sz w:val="24"/>
          <w:szCs w:val="24"/>
        </w:rPr>
        <w:t>There are five sections to the act, known as titles.</w:t>
      </w:r>
    </w:p>
    <w:p w14:paraId="2B98778E" w14:textId="77777777" w:rsidR="006A6F4E" w:rsidRPr="008B1DFD" w:rsidRDefault="00385A17" w:rsidP="006A6F4E">
      <w:pPr>
        <w:shd w:val="clear" w:color="auto" w:fill="FFFFFF"/>
        <w:spacing w:before="120" w:after="120" w:line="240" w:lineRule="auto"/>
        <w:ind w:firstLine="720"/>
        <w:jc w:val="both"/>
        <w:rPr>
          <w:rFonts w:asciiTheme="majorHAnsi" w:eastAsia="Times New Roman" w:hAnsiTheme="majorHAnsi" w:cstheme="majorHAnsi"/>
          <w:color w:val="000000" w:themeColor="text1"/>
          <w:sz w:val="24"/>
          <w:szCs w:val="24"/>
        </w:rPr>
      </w:pPr>
      <w:r w:rsidRPr="00F41271">
        <w:rPr>
          <w:rFonts w:asciiTheme="majorHAnsi" w:eastAsia="Times New Roman" w:hAnsiTheme="majorHAnsi" w:cstheme="majorHAnsi"/>
          <w:b/>
          <w:bCs/>
          <w:color w:val="000000" w:themeColor="text1"/>
          <w:sz w:val="24"/>
          <w:szCs w:val="24"/>
        </w:rPr>
        <w:t>Title I:</w:t>
      </w:r>
      <w:r w:rsidRPr="00385A17">
        <w:rPr>
          <w:rFonts w:asciiTheme="majorHAnsi" w:eastAsia="Times New Roman" w:hAnsiTheme="majorHAnsi" w:cstheme="majorHAnsi"/>
          <w:color w:val="000000" w:themeColor="text1"/>
          <w:sz w:val="24"/>
          <w:szCs w:val="24"/>
        </w:rPr>
        <w:t xml:space="preserve"> Health Care Access, Portability, and Renewability</w:t>
      </w:r>
    </w:p>
    <w:p w14:paraId="19A8E738" w14:textId="48BD920A" w:rsidR="006A6F4E" w:rsidRPr="008B1DFD" w:rsidRDefault="006A6F4E" w:rsidP="006A6F4E">
      <w:pPr>
        <w:shd w:val="clear" w:color="auto" w:fill="FFFFFF"/>
        <w:spacing w:before="120" w:after="120" w:line="240" w:lineRule="auto"/>
        <w:ind w:left="720"/>
        <w:jc w:val="both"/>
        <w:rPr>
          <w:rFonts w:asciiTheme="majorHAnsi" w:eastAsia="Times New Roman" w:hAnsiTheme="majorHAnsi" w:cstheme="majorHAnsi"/>
          <w:color w:val="000000" w:themeColor="text1"/>
          <w:sz w:val="24"/>
          <w:szCs w:val="24"/>
        </w:rPr>
      </w:pPr>
      <w:r w:rsidRPr="00F41271">
        <w:rPr>
          <w:rStyle w:val="mw-headline"/>
          <w:rFonts w:asciiTheme="majorHAnsi" w:hAnsiTheme="majorHAnsi" w:cstheme="majorHAnsi"/>
          <w:b/>
          <w:bCs/>
          <w:color w:val="000000" w:themeColor="text1"/>
          <w:sz w:val="24"/>
          <w:szCs w:val="24"/>
        </w:rPr>
        <w:t>Title II:</w:t>
      </w:r>
      <w:r w:rsidRPr="008B1DFD">
        <w:rPr>
          <w:rStyle w:val="mw-headline"/>
          <w:rFonts w:asciiTheme="majorHAnsi" w:hAnsiTheme="majorHAnsi" w:cstheme="majorHAnsi"/>
          <w:color w:val="000000" w:themeColor="text1"/>
          <w:sz w:val="24"/>
          <w:szCs w:val="24"/>
        </w:rPr>
        <w:t xml:space="preserve"> Preventing Health Care Fraud and Abuse; Administrative Simplification; Medical Liability Reform</w:t>
      </w:r>
    </w:p>
    <w:p w14:paraId="7ED06323" w14:textId="5AD5128A" w:rsidR="006A6F4E" w:rsidRPr="008B1DFD" w:rsidRDefault="006A6F4E" w:rsidP="006A6F4E">
      <w:pPr>
        <w:pStyle w:val="Heading3"/>
        <w:shd w:val="clear" w:color="auto" w:fill="FFFFFF"/>
        <w:spacing w:before="72" w:beforeAutospacing="0" w:after="0" w:afterAutospacing="0"/>
        <w:ind w:left="720"/>
        <w:jc w:val="both"/>
        <w:rPr>
          <w:rStyle w:val="mw-headline"/>
          <w:rFonts w:asciiTheme="majorHAnsi" w:hAnsiTheme="majorHAnsi" w:cstheme="majorHAnsi"/>
          <w:b w:val="0"/>
          <w:bCs w:val="0"/>
          <w:color w:val="000000" w:themeColor="text1"/>
          <w:sz w:val="24"/>
          <w:szCs w:val="24"/>
        </w:rPr>
      </w:pPr>
      <w:r w:rsidRPr="00F41271">
        <w:rPr>
          <w:rStyle w:val="mw-headline"/>
          <w:rFonts w:asciiTheme="majorHAnsi" w:hAnsiTheme="majorHAnsi" w:cstheme="majorHAnsi"/>
          <w:color w:val="000000" w:themeColor="text1"/>
          <w:sz w:val="24"/>
          <w:szCs w:val="24"/>
        </w:rPr>
        <w:t>Title III:</w:t>
      </w:r>
      <w:r w:rsidRPr="008B1DFD">
        <w:rPr>
          <w:rStyle w:val="mw-headline"/>
          <w:rFonts w:asciiTheme="majorHAnsi" w:hAnsiTheme="majorHAnsi" w:cstheme="majorHAnsi"/>
          <w:b w:val="0"/>
          <w:bCs w:val="0"/>
          <w:color w:val="000000" w:themeColor="text1"/>
          <w:sz w:val="24"/>
          <w:szCs w:val="24"/>
        </w:rPr>
        <w:t xml:space="preserve"> Tax-related health provisions governing medical savings accounts.</w:t>
      </w:r>
    </w:p>
    <w:p w14:paraId="53163FF7" w14:textId="0B6D6535" w:rsidR="006A6F4E" w:rsidRPr="008B1DFD" w:rsidRDefault="006A6F4E" w:rsidP="006A6F4E">
      <w:pPr>
        <w:pStyle w:val="Heading3"/>
        <w:shd w:val="clear" w:color="auto" w:fill="FFFFFF"/>
        <w:spacing w:before="72" w:beforeAutospacing="0" w:after="0" w:afterAutospacing="0"/>
        <w:ind w:left="720"/>
        <w:jc w:val="both"/>
        <w:rPr>
          <w:rStyle w:val="mw-headline"/>
          <w:rFonts w:asciiTheme="majorHAnsi" w:hAnsiTheme="majorHAnsi" w:cstheme="majorHAnsi"/>
          <w:b w:val="0"/>
          <w:bCs w:val="0"/>
          <w:color w:val="000000" w:themeColor="text1"/>
          <w:sz w:val="24"/>
          <w:szCs w:val="24"/>
        </w:rPr>
      </w:pPr>
      <w:r w:rsidRPr="00F41271">
        <w:rPr>
          <w:rStyle w:val="mw-headline"/>
          <w:rFonts w:asciiTheme="majorHAnsi" w:hAnsiTheme="majorHAnsi" w:cstheme="majorHAnsi"/>
          <w:color w:val="000000" w:themeColor="text1"/>
          <w:sz w:val="24"/>
          <w:szCs w:val="24"/>
        </w:rPr>
        <w:t>Title IV</w:t>
      </w:r>
      <w:r w:rsidRPr="008B1DFD">
        <w:rPr>
          <w:rStyle w:val="mw-headline"/>
          <w:rFonts w:asciiTheme="majorHAnsi" w:hAnsiTheme="majorHAnsi" w:cstheme="majorHAnsi"/>
          <w:b w:val="0"/>
          <w:bCs w:val="0"/>
          <w:color w:val="000000" w:themeColor="text1"/>
          <w:sz w:val="24"/>
          <w:szCs w:val="24"/>
        </w:rPr>
        <w:t>: Application and enforcement of group health insurance requirement.</w:t>
      </w:r>
    </w:p>
    <w:p w14:paraId="4556BE10" w14:textId="5AEE2F4F" w:rsidR="00385A17" w:rsidRDefault="006A6F4E" w:rsidP="006A6F4E">
      <w:pPr>
        <w:pStyle w:val="Heading3"/>
        <w:shd w:val="clear" w:color="auto" w:fill="FFFFFF"/>
        <w:spacing w:before="72" w:beforeAutospacing="0" w:after="0" w:afterAutospacing="0"/>
        <w:ind w:left="720"/>
        <w:jc w:val="both"/>
        <w:rPr>
          <w:rStyle w:val="mw-headline"/>
          <w:rFonts w:asciiTheme="majorHAnsi" w:hAnsiTheme="majorHAnsi" w:cstheme="majorHAnsi"/>
          <w:color w:val="000000" w:themeColor="text1"/>
          <w:sz w:val="24"/>
          <w:szCs w:val="24"/>
        </w:rPr>
      </w:pPr>
      <w:r w:rsidRPr="00F41271">
        <w:rPr>
          <w:rStyle w:val="mw-headline"/>
          <w:rFonts w:asciiTheme="majorHAnsi" w:hAnsiTheme="majorHAnsi" w:cstheme="majorHAnsi"/>
          <w:color w:val="000000" w:themeColor="text1"/>
          <w:sz w:val="24"/>
          <w:szCs w:val="24"/>
        </w:rPr>
        <w:t>Title V:</w:t>
      </w:r>
      <w:r w:rsidRPr="008B1DFD">
        <w:rPr>
          <w:rStyle w:val="mw-headline"/>
          <w:rFonts w:asciiTheme="majorHAnsi" w:hAnsiTheme="majorHAnsi" w:cstheme="majorHAnsi"/>
          <w:b w:val="0"/>
          <w:bCs w:val="0"/>
          <w:color w:val="000000" w:themeColor="text1"/>
          <w:sz w:val="24"/>
          <w:szCs w:val="24"/>
        </w:rPr>
        <w:t xml:space="preserve"> Revenue offset governing tax deductions for employers</w:t>
      </w:r>
      <w:r w:rsidRPr="008B1DFD">
        <w:rPr>
          <w:rStyle w:val="mw-headline"/>
          <w:rFonts w:asciiTheme="majorHAnsi" w:hAnsiTheme="majorHAnsi" w:cstheme="majorHAnsi"/>
          <w:color w:val="000000" w:themeColor="text1"/>
          <w:sz w:val="24"/>
          <w:szCs w:val="24"/>
        </w:rPr>
        <w:t>.</w:t>
      </w:r>
    </w:p>
    <w:p w14:paraId="7E99C40F" w14:textId="77777777" w:rsidR="00F41271" w:rsidRPr="008B1DFD" w:rsidRDefault="00F41271" w:rsidP="006A6F4E">
      <w:pPr>
        <w:pStyle w:val="Heading3"/>
        <w:shd w:val="clear" w:color="auto" w:fill="FFFFFF"/>
        <w:spacing w:before="72" w:beforeAutospacing="0" w:after="0" w:afterAutospacing="0"/>
        <w:ind w:left="720"/>
        <w:jc w:val="both"/>
        <w:rPr>
          <w:rFonts w:asciiTheme="majorHAnsi" w:hAnsiTheme="majorHAnsi" w:cstheme="majorHAnsi"/>
          <w:color w:val="000000" w:themeColor="text1"/>
          <w:sz w:val="24"/>
          <w:szCs w:val="24"/>
        </w:rPr>
      </w:pPr>
    </w:p>
    <w:p w14:paraId="61248F54" w14:textId="17DCD9A7" w:rsidR="00E94810" w:rsidRPr="008B1DFD" w:rsidRDefault="00E94810" w:rsidP="006A6F4E">
      <w:pPr>
        <w:pStyle w:val="ListParagraph"/>
        <w:numPr>
          <w:ilvl w:val="0"/>
          <w:numId w:val="2"/>
        </w:numPr>
        <w:jc w:val="both"/>
        <w:rPr>
          <w:rFonts w:asciiTheme="majorHAnsi" w:hAnsiTheme="majorHAnsi" w:cstheme="majorHAnsi"/>
          <w:b/>
          <w:bCs/>
          <w:color w:val="000000" w:themeColor="text1"/>
          <w:sz w:val="24"/>
          <w:szCs w:val="24"/>
          <w:u w:val="single"/>
        </w:rPr>
      </w:pPr>
      <w:r w:rsidRPr="008B1DFD">
        <w:rPr>
          <w:rFonts w:asciiTheme="majorHAnsi" w:eastAsia="Times New Roman" w:hAnsiTheme="majorHAnsi" w:cstheme="majorHAnsi"/>
          <w:color w:val="000000" w:themeColor="text1"/>
          <w:sz w:val="24"/>
          <w:szCs w:val="24"/>
        </w:rPr>
        <w:t>Market addressed</w:t>
      </w:r>
      <w:r w:rsidR="00385A17" w:rsidRPr="008B1DFD">
        <w:rPr>
          <w:rFonts w:asciiTheme="majorHAnsi" w:eastAsia="Times New Roman" w:hAnsiTheme="majorHAnsi" w:cstheme="majorHAnsi"/>
          <w:color w:val="000000" w:themeColor="text1"/>
          <w:sz w:val="24"/>
          <w:szCs w:val="24"/>
        </w:rPr>
        <w:t xml:space="preserve">- </w:t>
      </w:r>
      <w:r w:rsidR="00385A17" w:rsidRPr="008B1DFD">
        <w:rPr>
          <w:rFonts w:asciiTheme="majorHAnsi" w:hAnsiTheme="majorHAnsi" w:cstheme="majorHAnsi"/>
          <w:color w:val="000000" w:themeColor="text1"/>
          <w:sz w:val="24"/>
          <w:szCs w:val="24"/>
          <w:shd w:val="clear" w:color="auto" w:fill="FFFFFF"/>
        </w:rPr>
        <w:t>The US Department of Health and Human Services (HHS) issued the HIPAA Privacy Rule to implement the requirements of HIPAA.</w:t>
      </w:r>
    </w:p>
    <w:p w14:paraId="232C213A" w14:textId="34E6C474" w:rsidR="00E94810" w:rsidRPr="008B1DFD" w:rsidRDefault="00E94810" w:rsidP="00E94810">
      <w:pPr>
        <w:pStyle w:val="ListParagraph"/>
        <w:numPr>
          <w:ilvl w:val="0"/>
          <w:numId w:val="2"/>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Specific requirements for standards</w:t>
      </w:r>
      <w:r w:rsidR="006A6F4E" w:rsidRPr="008B1DFD">
        <w:rPr>
          <w:rFonts w:asciiTheme="majorHAnsi" w:eastAsia="Times New Roman" w:hAnsiTheme="majorHAnsi" w:cstheme="majorHAnsi"/>
          <w:color w:val="000000" w:themeColor="text1"/>
          <w:sz w:val="24"/>
          <w:szCs w:val="24"/>
        </w:rPr>
        <w:t xml:space="preserve"> -</w:t>
      </w:r>
      <w:r w:rsidR="006A6F4E" w:rsidRPr="008B1DFD">
        <w:rPr>
          <w:rFonts w:asciiTheme="majorHAnsi" w:hAnsiTheme="majorHAnsi" w:cstheme="majorHAnsi"/>
          <w:color w:val="000000" w:themeColor="text1"/>
          <w:sz w:val="24"/>
          <w:szCs w:val="24"/>
          <w:shd w:val="clear" w:color="auto" w:fill="F8F8F8"/>
        </w:rPr>
        <w:t xml:space="preserve"> To comply with HIPAA, general security best practices come into play. This includes adhering to and implementing required technical, administrative, and physical safeguards.</w:t>
      </w:r>
    </w:p>
    <w:p w14:paraId="5BCEDB89" w14:textId="77777777" w:rsidR="00F41271" w:rsidRPr="00F41271" w:rsidRDefault="00F41271" w:rsidP="00F41271">
      <w:pPr>
        <w:pStyle w:val="ListParagraph"/>
        <w:ind w:left="1080"/>
        <w:rPr>
          <w:rFonts w:asciiTheme="majorHAnsi" w:hAnsiTheme="majorHAnsi" w:cstheme="majorHAnsi"/>
          <w:color w:val="333333"/>
          <w:shd w:val="clear" w:color="auto" w:fill="FFFFFF"/>
        </w:rPr>
      </w:pPr>
    </w:p>
    <w:p w14:paraId="50E018DA" w14:textId="6C0375E6" w:rsidR="00F41271" w:rsidRPr="00F41271" w:rsidRDefault="00F41271" w:rsidP="00F41271">
      <w:pPr>
        <w:pStyle w:val="ListParagraph"/>
        <w:numPr>
          <w:ilvl w:val="0"/>
          <w:numId w:val="2"/>
        </w:numPr>
        <w:rPr>
          <w:rFonts w:asciiTheme="majorHAnsi" w:hAnsiTheme="majorHAnsi" w:cstheme="majorHAnsi"/>
          <w:color w:val="333333"/>
          <w:shd w:val="clear" w:color="auto" w:fill="FFFFFF"/>
        </w:rPr>
      </w:pPr>
      <w:r w:rsidRPr="00F41271">
        <w:rPr>
          <w:rFonts w:asciiTheme="majorHAnsi" w:hAnsiTheme="majorHAnsi" w:cstheme="majorHAnsi"/>
          <w:color w:val="333333"/>
          <w:sz w:val="24"/>
          <w:szCs w:val="24"/>
          <w:shd w:val="clear" w:color="auto" w:fill="FFFFFF"/>
        </w:rPr>
        <w:t xml:space="preserve">Some </w:t>
      </w:r>
      <w:r w:rsidRPr="00F41271">
        <w:rPr>
          <w:rFonts w:asciiTheme="majorHAnsi" w:hAnsiTheme="majorHAnsi" w:cstheme="majorHAnsi"/>
          <w:b/>
          <w:bCs/>
          <w:color w:val="333333"/>
          <w:sz w:val="24"/>
          <w:szCs w:val="24"/>
          <w:shd w:val="clear" w:color="auto" w:fill="FFFFFF"/>
        </w:rPr>
        <w:t>eHealth and mHealth apps</w:t>
      </w:r>
      <w:r w:rsidRPr="00F41271">
        <w:rPr>
          <w:rFonts w:asciiTheme="majorHAnsi" w:hAnsiTheme="majorHAnsi" w:cstheme="majorHAnsi"/>
          <w:color w:val="333333"/>
          <w:sz w:val="24"/>
          <w:szCs w:val="24"/>
          <w:shd w:val="clear" w:color="auto" w:fill="FFFFFF"/>
        </w:rPr>
        <w:t xml:space="preserve"> are subject to HIPAA and medical software regulations issued by the FDA. </w:t>
      </w:r>
    </w:p>
    <w:p w14:paraId="40264906" w14:textId="77777777" w:rsidR="00F41271" w:rsidRPr="000D58B0" w:rsidRDefault="00F41271" w:rsidP="00F41271">
      <w:pPr>
        <w:pStyle w:val="ListParagraph"/>
        <w:numPr>
          <w:ilvl w:val="0"/>
          <w:numId w:val="22"/>
        </w:numPr>
        <w:rPr>
          <w:rFonts w:asciiTheme="majorHAnsi" w:hAnsiTheme="majorHAnsi" w:cstheme="majorHAnsi"/>
          <w:color w:val="333333"/>
          <w:shd w:val="clear" w:color="auto" w:fill="FFFFFF"/>
        </w:rPr>
      </w:pPr>
      <w:r w:rsidRPr="000D58B0">
        <w:rPr>
          <w:rFonts w:asciiTheme="majorHAnsi" w:hAnsiTheme="majorHAnsi" w:cstheme="majorHAnsi"/>
          <w:color w:val="333333"/>
          <w:sz w:val="24"/>
          <w:szCs w:val="24"/>
          <w:shd w:val="clear" w:color="auto" w:fill="FFFFFF"/>
        </w:rPr>
        <w:t xml:space="preserve"> Ex: A doctor asks a patient to wear a portable data collecting device, and the data is later to be shared with the doctor, HIPAA applies.</w:t>
      </w:r>
    </w:p>
    <w:p w14:paraId="11A34C73" w14:textId="77777777" w:rsidR="00F41271" w:rsidRPr="00F41271" w:rsidRDefault="00F41271" w:rsidP="00F41271">
      <w:pPr>
        <w:pStyle w:val="ListParagraph"/>
        <w:numPr>
          <w:ilvl w:val="0"/>
          <w:numId w:val="22"/>
        </w:numPr>
        <w:rPr>
          <w:rFonts w:asciiTheme="majorHAnsi" w:hAnsiTheme="majorHAnsi" w:cstheme="majorHAnsi"/>
          <w:b/>
          <w:bCs/>
          <w:sz w:val="24"/>
          <w:szCs w:val="24"/>
        </w:rPr>
      </w:pPr>
      <w:r w:rsidRPr="00F41271">
        <w:rPr>
          <w:rFonts w:asciiTheme="majorHAnsi" w:eastAsia="Times New Roman" w:hAnsiTheme="majorHAnsi" w:cstheme="majorHAnsi"/>
          <w:b/>
          <w:bCs/>
          <w:color w:val="202124"/>
          <w:sz w:val="24"/>
          <w:szCs w:val="24"/>
        </w:rPr>
        <w:t>7 Top Patient Apps in eHealth</w:t>
      </w:r>
    </w:p>
    <w:p w14:paraId="04415D17" w14:textId="7787E5D0"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WebMD </w:t>
      </w:r>
      <w:r w:rsidRPr="000D58B0">
        <w:rPr>
          <w:rFonts w:asciiTheme="majorHAnsi" w:eastAsia="Times New Roman" w:hAnsiTheme="majorHAnsi" w:cstheme="majorHAnsi"/>
          <w:b/>
          <w:bCs/>
          <w:color w:val="202124"/>
          <w:sz w:val="24"/>
          <w:szCs w:val="24"/>
        </w:rPr>
        <w:t>Pain Coach</w:t>
      </w:r>
      <w:r w:rsidRPr="000D58B0">
        <w:rPr>
          <w:rFonts w:asciiTheme="majorHAnsi" w:eastAsia="Times New Roman" w:hAnsiTheme="majorHAnsi" w:cstheme="majorHAnsi"/>
          <w:color w:val="202124"/>
          <w:sz w:val="24"/>
          <w:szCs w:val="24"/>
        </w:rPr>
        <w:t>....</w:t>
      </w:r>
    </w:p>
    <w:p w14:paraId="5A9CE35E" w14:textId="77777777"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 xml:space="preserve">Glucose Buddy. </w:t>
      </w:r>
    </w:p>
    <w:p w14:paraId="4FCB66D6" w14:textId="77777777"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proofErr w:type="spellStart"/>
      <w:r w:rsidRPr="000D58B0">
        <w:rPr>
          <w:rFonts w:asciiTheme="majorHAnsi" w:eastAsia="Times New Roman" w:hAnsiTheme="majorHAnsi" w:cstheme="majorHAnsi"/>
          <w:color w:val="202124"/>
          <w:sz w:val="24"/>
          <w:szCs w:val="24"/>
        </w:rPr>
        <w:t>uChek</w:t>
      </w:r>
      <w:proofErr w:type="spellEnd"/>
      <w:r w:rsidRPr="000D58B0">
        <w:rPr>
          <w:rFonts w:asciiTheme="majorHAnsi" w:eastAsia="Times New Roman" w:hAnsiTheme="majorHAnsi" w:cstheme="majorHAnsi"/>
          <w:color w:val="202124"/>
          <w:sz w:val="24"/>
          <w:szCs w:val="24"/>
        </w:rPr>
        <w:t xml:space="preserve">. </w:t>
      </w:r>
    </w:p>
    <w:p w14:paraId="493509D7" w14:textId="77777777"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Clinical Trial Seek.</w:t>
      </w:r>
    </w:p>
    <w:p w14:paraId="12C75EBD" w14:textId="77777777"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 xml:space="preserve">Healthy Heart 2. </w:t>
      </w:r>
    </w:p>
    <w:p w14:paraId="058A4624" w14:textId="77777777" w:rsidR="00F41271" w:rsidRPr="000D58B0"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proofErr w:type="spellStart"/>
      <w:r w:rsidRPr="000D58B0">
        <w:rPr>
          <w:rFonts w:asciiTheme="majorHAnsi" w:eastAsia="Times New Roman" w:hAnsiTheme="majorHAnsi" w:cstheme="majorHAnsi"/>
          <w:color w:val="202124"/>
          <w:sz w:val="24"/>
          <w:szCs w:val="24"/>
        </w:rPr>
        <w:t>Kardia</w:t>
      </w:r>
      <w:proofErr w:type="spellEnd"/>
      <w:r w:rsidRPr="000D58B0">
        <w:rPr>
          <w:rFonts w:asciiTheme="majorHAnsi" w:eastAsia="Times New Roman" w:hAnsiTheme="majorHAnsi" w:cstheme="majorHAnsi"/>
          <w:color w:val="202124"/>
          <w:sz w:val="24"/>
          <w:szCs w:val="24"/>
        </w:rPr>
        <w:t xml:space="preserve"> Mobile (EKG) </w:t>
      </w:r>
    </w:p>
    <w:p w14:paraId="24B17F83" w14:textId="77777777" w:rsidR="00F41271" w:rsidRDefault="00F41271" w:rsidP="00F41271">
      <w:pPr>
        <w:numPr>
          <w:ilvl w:val="0"/>
          <w:numId w:val="25"/>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CDC.</w:t>
      </w:r>
    </w:p>
    <w:p w14:paraId="4875936A" w14:textId="77777777" w:rsidR="00F41271" w:rsidRPr="000D58B0" w:rsidRDefault="00F41271" w:rsidP="00F41271">
      <w:pPr>
        <w:shd w:val="clear" w:color="auto" w:fill="FFFFFF"/>
        <w:spacing w:after="60" w:line="240" w:lineRule="auto"/>
        <w:ind w:left="1440"/>
        <w:rPr>
          <w:rFonts w:asciiTheme="majorHAnsi" w:eastAsia="Times New Roman" w:hAnsiTheme="majorHAnsi" w:cstheme="majorHAnsi"/>
          <w:color w:val="202124"/>
          <w:sz w:val="24"/>
          <w:szCs w:val="24"/>
        </w:rPr>
      </w:pPr>
    </w:p>
    <w:p w14:paraId="61A526A4" w14:textId="77777777" w:rsidR="00F41271" w:rsidRPr="000D58B0" w:rsidRDefault="00F41271" w:rsidP="00F41271">
      <w:pPr>
        <w:pStyle w:val="ListParagraph"/>
        <w:numPr>
          <w:ilvl w:val="0"/>
          <w:numId w:val="23"/>
        </w:numPr>
        <w:rPr>
          <w:rFonts w:asciiTheme="majorHAnsi" w:hAnsiTheme="majorHAnsi" w:cstheme="majorHAnsi"/>
          <w:color w:val="333333"/>
          <w:sz w:val="24"/>
          <w:szCs w:val="24"/>
          <w:shd w:val="clear" w:color="auto" w:fill="FFFFFF"/>
        </w:rPr>
      </w:pPr>
      <w:r w:rsidRPr="000D58B0">
        <w:rPr>
          <w:rFonts w:asciiTheme="majorHAnsi" w:eastAsia="Times New Roman" w:hAnsiTheme="majorHAnsi" w:cstheme="majorHAnsi"/>
          <w:b/>
          <w:bCs/>
          <w:color w:val="202124"/>
          <w:sz w:val="24"/>
          <w:szCs w:val="24"/>
        </w:rPr>
        <w:t>Top mHealth apps on the market</w:t>
      </w:r>
    </w:p>
    <w:p w14:paraId="17C85951" w14:textId="77777777" w:rsidR="00F41271" w:rsidRPr="000D58B0" w:rsidRDefault="00F41271" w:rsidP="00F41271">
      <w:pPr>
        <w:numPr>
          <w:ilvl w:val="0"/>
          <w:numId w:val="24"/>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Fitbit.</w:t>
      </w:r>
    </w:p>
    <w:p w14:paraId="7C1735F0" w14:textId="77777777" w:rsidR="00F41271" w:rsidRPr="000D58B0" w:rsidRDefault="00F41271" w:rsidP="00F41271">
      <w:pPr>
        <w:numPr>
          <w:ilvl w:val="0"/>
          <w:numId w:val="24"/>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Apple Heart Study.</w:t>
      </w:r>
    </w:p>
    <w:p w14:paraId="217D3D43" w14:textId="35EF2E5B" w:rsidR="00F41271" w:rsidRPr="000D58B0" w:rsidRDefault="00F41271" w:rsidP="00F41271">
      <w:pPr>
        <w:numPr>
          <w:ilvl w:val="0"/>
          <w:numId w:val="24"/>
        </w:numPr>
        <w:shd w:val="clear" w:color="auto" w:fill="FFFFFF"/>
        <w:spacing w:after="60" w:line="240" w:lineRule="auto"/>
        <w:rPr>
          <w:rFonts w:asciiTheme="majorHAnsi" w:eastAsia="Times New Roman" w:hAnsiTheme="majorHAnsi" w:cstheme="majorHAnsi"/>
          <w:color w:val="202124"/>
          <w:sz w:val="24"/>
          <w:szCs w:val="24"/>
        </w:rPr>
      </w:pPr>
      <w:proofErr w:type="spellStart"/>
      <w:r w:rsidRPr="000D58B0">
        <w:rPr>
          <w:rFonts w:asciiTheme="majorHAnsi" w:eastAsia="Times New Roman" w:hAnsiTheme="majorHAnsi" w:cstheme="majorHAnsi"/>
          <w:color w:val="202124"/>
          <w:sz w:val="24"/>
          <w:szCs w:val="24"/>
        </w:rPr>
        <w:t>GoogleFit</w:t>
      </w:r>
      <w:proofErr w:type="spellEnd"/>
    </w:p>
    <w:p w14:paraId="5CA3FD98" w14:textId="77777777" w:rsidR="00F41271" w:rsidRPr="000D58B0" w:rsidRDefault="00F41271" w:rsidP="00F41271">
      <w:pPr>
        <w:numPr>
          <w:ilvl w:val="0"/>
          <w:numId w:val="24"/>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t>Samsung Health.</w:t>
      </w:r>
    </w:p>
    <w:p w14:paraId="5279D2BB" w14:textId="77777777" w:rsidR="00F41271" w:rsidRDefault="00F41271" w:rsidP="00F41271">
      <w:pPr>
        <w:numPr>
          <w:ilvl w:val="0"/>
          <w:numId w:val="24"/>
        </w:numPr>
        <w:shd w:val="clear" w:color="auto" w:fill="FFFFFF"/>
        <w:spacing w:after="60" w:line="240" w:lineRule="auto"/>
        <w:rPr>
          <w:rFonts w:asciiTheme="majorHAnsi" w:eastAsia="Times New Roman" w:hAnsiTheme="majorHAnsi" w:cstheme="majorHAnsi"/>
          <w:color w:val="202124"/>
          <w:sz w:val="24"/>
          <w:szCs w:val="24"/>
        </w:rPr>
      </w:pPr>
      <w:r w:rsidRPr="000D58B0">
        <w:rPr>
          <w:rFonts w:asciiTheme="majorHAnsi" w:eastAsia="Times New Roman" w:hAnsiTheme="majorHAnsi" w:cstheme="majorHAnsi"/>
          <w:color w:val="202124"/>
          <w:sz w:val="24"/>
          <w:szCs w:val="24"/>
        </w:rPr>
        <w:lastRenderedPageBreak/>
        <w:t>BlueStar.</w:t>
      </w:r>
    </w:p>
    <w:p w14:paraId="26964353" w14:textId="77777777" w:rsidR="00F41271" w:rsidRPr="000D58B0" w:rsidRDefault="00F41271" w:rsidP="00F41271">
      <w:pPr>
        <w:shd w:val="clear" w:color="auto" w:fill="FFFFFF"/>
        <w:spacing w:after="60" w:line="240" w:lineRule="auto"/>
        <w:ind w:left="1440"/>
        <w:rPr>
          <w:rFonts w:asciiTheme="majorHAnsi" w:eastAsia="Times New Roman" w:hAnsiTheme="majorHAnsi" w:cstheme="majorHAnsi"/>
          <w:color w:val="202124"/>
          <w:sz w:val="24"/>
          <w:szCs w:val="24"/>
        </w:rPr>
      </w:pPr>
    </w:p>
    <w:p w14:paraId="6DA19680" w14:textId="77777777" w:rsidR="00F41271" w:rsidRPr="000D58B0" w:rsidRDefault="00F41271" w:rsidP="00F41271">
      <w:pPr>
        <w:pStyle w:val="ListParagraph"/>
        <w:numPr>
          <w:ilvl w:val="0"/>
          <w:numId w:val="22"/>
        </w:numPr>
        <w:rPr>
          <w:rFonts w:asciiTheme="majorHAnsi" w:hAnsiTheme="majorHAnsi" w:cstheme="majorHAnsi"/>
          <w:b/>
          <w:bCs/>
          <w:sz w:val="24"/>
          <w:szCs w:val="24"/>
        </w:rPr>
      </w:pPr>
      <w:r w:rsidRPr="000D58B0">
        <w:rPr>
          <w:rFonts w:asciiTheme="majorHAnsi" w:hAnsiTheme="majorHAnsi" w:cstheme="majorHAnsi"/>
          <w:color w:val="313131"/>
          <w:sz w:val="24"/>
          <w:szCs w:val="24"/>
          <w:shd w:val="clear" w:color="auto" w:fill="FFFFFF"/>
        </w:rPr>
        <w:t>m-health devices monitor vital signs, transmit patient records to doctors and allow remote examinations on mobile phones, tablets, and other portable medical devices.</w:t>
      </w:r>
    </w:p>
    <w:p w14:paraId="6B17940C" w14:textId="19BC907C" w:rsidR="00F41271" w:rsidRPr="00D4154B" w:rsidRDefault="00F41271" w:rsidP="00F41271">
      <w:pPr>
        <w:pStyle w:val="ListParagraph"/>
        <w:numPr>
          <w:ilvl w:val="0"/>
          <w:numId w:val="22"/>
        </w:numPr>
        <w:rPr>
          <w:rFonts w:asciiTheme="majorHAnsi" w:hAnsiTheme="majorHAnsi" w:cstheme="majorHAnsi"/>
          <w:b/>
          <w:bCs/>
          <w:sz w:val="24"/>
          <w:szCs w:val="24"/>
        </w:rPr>
      </w:pPr>
      <w:r w:rsidRPr="000D58B0">
        <w:rPr>
          <w:rFonts w:asciiTheme="majorHAnsi" w:hAnsiTheme="majorHAnsi" w:cstheme="majorHAnsi"/>
          <w:color w:val="313131"/>
          <w:sz w:val="24"/>
          <w:szCs w:val="24"/>
          <w:shd w:val="clear" w:color="auto" w:fill="FFFFFF"/>
        </w:rPr>
        <w:t>These devices often carry personal records such as patient names, phone numbers, addresses, insurance information, Social Security numbers and health information.</w:t>
      </w:r>
    </w:p>
    <w:p w14:paraId="168A6EAB" w14:textId="77777777" w:rsidR="00D4154B" w:rsidRPr="00A80406" w:rsidRDefault="00D4154B" w:rsidP="00D4154B">
      <w:pPr>
        <w:pStyle w:val="ListParagraph"/>
        <w:numPr>
          <w:ilvl w:val="0"/>
          <w:numId w:val="22"/>
        </w:numPr>
        <w:spacing w:after="0" w:line="240" w:lineRule="auto"/>
        <w:rPr>
          <w:rFonts w:eastAsia="Times New Roman" w:cstheme="minorHAnsi"/>
          <w:b/>
          <w:bCs/>
          <w:sz w:val="28"/>
          <w:szCs w:val="28"/>
        </w:rPr>
      </w:pPr>
      <w:r w:rsidRPr="00A80406">
        <w:rPr>
          <w:rFonts w:eastAsia="Times New Roman" w:cstheme="minorHAnsi"/>
          <w:b/>
          <w:bCs/>
          <w:sz w:val="28"/>
          <w:szCs w:val="28"/>
        </w:rPr>
        <w:t xml:space="preserve">HIPAA </w:t>
      </w:r>
      <w:r>
        <w:rPr>
          <w:rFonts w:eastAsia="Times New Roman" w:cstheme="minorHAnsi"/>
          <w:b/>
          <w:bCs/>
          <w:sz w:val="28"/>
          <w:szCs w:val="28"/>
        </w:rPr>
        <w:t xml:space="preserve">Privacy </w:t>
      </w:r>
      <w:r w:rsidRPr="00A80406">
        <w:rPr>
          <w:rFonts w:eastAsia="Times New Roman" w:cstheme="minorHAnsi"/>
          <w:b/>
          <w:bCs/>
          <w:sz w:val="28"/>
          <w:szCs w:val="28"/>
        </w:rPr>
        <w:t>Rule</w:t>
      </w:r>
    </w:p>
    <w:p w14:paraId="57C45FB3" w14:textId="77777777" w:rsidR="00D4154B" w:rsidRPr="00D4154B" w:rsidRDefault="00D4154B" w:rsidP="00D4154B">
      <w:pPr>
        <w:pStyle w:val="ListParagraph"/>
        <w:numPr>
          <w:ilvl w:val="0"/>
          <w:numId w:val="22"/>
        </w:numPr>
        <w:spacing w:after="0" w:line="240" w:lineRule="auto"/>
        <w:rPr>
          <w:rFonts w:eastAsia="Times New Roman" w:cstheme="minorHAnsi"/>
          <w:b/>
          <w:bCs/>
          <w:sz w:val="24"/>
          <w:szCs w:val="24"/>
        </w:rPr>
      </w:pPr>
    </w:p>
    <w:p w14:paraId="23983E1B"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r w:rsidRPr="00D4154B">
        <w:rPr>
          <w:rFonts w:cstheme="minorHAnsi"/>
          <w:sz w:val="24"/>
          <w:szCs w:val="24"/>
          <w:shd w:val="clear" w:color="auto" w:fill="FFFFFF"/>
        </w:rPr>
        <w:t xml:space="preserve">The Privacy rule is focused on protecting the rights of an individual and their ability to control and access their own PHI. </w:t>
      </w:r>
    </w:p>
    <w:p w14:paraId="229350C0"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p>
    <w:p w14:paraId="088D9F69"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r w:rsidRPr="00D4154B">
        <w:rPr>
          <w:rFonts w:cstheme="minorHAnsi"/>
          <w:sz w:val="24"/>
          <w:szCs w:val="24"/>
          <w:shd w:val="clear" w:color="auto" w:fill="FFFFFF"/>
        </w:rPr>
        <w:t xml:space="preserve">It also outlines how medical organizations can use the data for necessary functions such as treatment, operations, and payment. </w:t>
      </w:r>
    </w:p>
    <w:p w14:paraId="3C292176"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p>
    <w:p w14:paraId="10F58D0D"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r w:rsidRPr="00D4154B">
        <w:rPr>
          <w:rFonts w:cstheme="minorHAnsi"/>
          <w:sz w:val="24"/>
          <w:szCs w:val="24"/>
          <w:shd w:val="clear" w:color="auto" w:fill="FFFFFF"/>
        </w:rPr>
        <w:t xml:space="preserve">Aside from those uses, the PHI must remain confidential. </w:t>
      </w:r>
    </w:p>
    <w:p w14:paraId="3730F5C1" w14:textId="77777777" w:rsidR="00D4154B" w:rsidRPr="00D4154B" w:rsidRDefault="00D4154B" w:rsidP="00D4154B">
      <w:pPr>
        <w:pStyle w:val="ListParagraph"/>
        <w:numPr>
          <w:ilvl w:val="0"/>
          <w:numId w:val="22"/>
        </w:numPr>
        <w:spacing w:after="0" w:line="240" w:lineRule="auto"/>
        <w:rPr>
          <w:rFonts w:cstheme="minorHAnsi"/>
          <w:sz w:val="24"/>
          <w:szCs w:val="24"/>
          <w:shd w:val="clear" w:color="auto" w:fill="FFFFFF"/>
        </w:rPr>
      </w:pPr>
    </w:p>
    <w:p w14:paraId="6C50B245" w14:textId="77777777" w:rsidR="00D4154B" w:rsidRPr="00D4154B" w:rsidRDefault="00D4154B" w:rsidP="00D4154B">
      <w:pPr>
        <w:pStyle w:val="ListParagraph"/>
        <w:numPr>
          <w:ilvl w:val="0"/>
          <w:numId w:val="22"/>
        </w:numPr>
        <w:spacing w:after="0" w:line="240" w:lineRule="auto"/>
        <w:rPr>
          <w:rFonts w:eastAsia="Times New Roman" w:cstheme="minorHAnsi"/>
          <w:b/>
          <w:bCs/>
          <w:sz w:val="28"/>
          <w:szCs w:val="28"/>
        </w:rPr>
      </w:pPr>
      <w:r w:rsidRPr="00D4154B">
        <w:rPr>
          <w:rFonts w:cstheme="minorHAnsi"/>
          <w:sz w:val="24"/>
          <w:szCs w:val="24"/>
          <w:shd w:val="clear" w:color="auto" w:fill="FFFFFF"/>
        </w:rPr>
        <w:t>The Privacy Rule assures that all PHI will be protected from unauthorized disclosure and covers the physical security and confidentiality of PHI in all formats including electronic, paper, and even oral.</w:t>
      </w:r>
    </w:p>
    <w:p w14:paraId="71FFB30B" w14:textId="77777777" w:rsidR="00D4154B" w:rsidRPr="000D58B0" w:rsidRDefault="00D4154B" w:rsidP="00F41271">
      <w:pPr>
        <w:pStyle w:val="ListParagraph"/>
        <w:numPr>
          <w:ilvl w:val="0"/>
          <w:numId w:val="22"/>
        </w:numPr>
        <w:rPr>
          <w:rFonts w:asciiTheme="majorHAnsi" w:hAnsiTheme="majorHAnsi" w:cstheme="majorHAnsi"/>
          <w:b/>
          <w:bCs/>
          <w:sz w:val="24"/>
          <w:szCs w:val="24"/>
        </w:rPr>
      </w:pPr>
    </w:p>
    <w:bookmarkEnd w:id="0"/>
    <w:p w14:paraId="0A13C222" w14:textId="77777777" w:rsidR="00E94810" w:rsidRPr="008B1DFD" w:rsidRDefault="00E94810" w:rsidP="00E94810">
      <w:pPr>
        <w:spacing w:after="0" w:line="240" w:lineRule="auto"/>
        <w:ind w:firstLine="720"/>
        <w:rPr>
          <w:rFonts w:asciiTheme="majorHAnsi" w:hAnsiTheme="majorHAnsi" w:cstheme="majorHAnsi"/>
          <w:color w:val="000000" w:themeColor="text1"/>
          <w:sz w:val="24"/>
          <w:szCs w:val="24"/>
        </w:rPr>
      </w:pPr>
    </w:p>
    <w:p w14:paraId="145A18D5" w14:textId="6E94F401" w:rsidR="00E94810" w:rsidRPr="008B1DFD" w:rsidRDefault="00E94810" w:rsidP="00E94810">
      <w:pPr>
        <w:pStyle w:val="ListParagraph"/>
        <w:numPr>
          <w:ilvl w:val="0"/>
          <w:numId w:val="1"/>
        </w:numPr>
        <w:spacing w:after="0" w:line="240" w:lineRule="auto"/>
        <w:rPr>
          <w:rFonts w:asciiTheme="majorHAnsi" w:eastAsia="Times New Roman"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NIST Framework for Improving Critical Infrastructure Cybersecurity (NIST.CSWP.04162018)</w:t>
      </w:r>
    </w:p>
    <w:p w14:paraId="6361CD30" w14:textId="2FF7F04F" w:rsidR="00385A17" w:rsidRPr="008B1DFD" w:rsidRDefault="00385A17" w:rsidP="00385A17">
      <w:pPr>
        <w:pStyle w:val="ListParagraph"/>
        <w:spacing w:after="0" w:line="240" w:lineRule="auto"/>
        <w:rPr>
          <w:rFonts w:asciiTheme="majorHAnsi" w:eastAsia="Times New Roman"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rPr>
        <w:t xml:space="preserve">The Framework is a risk-based approach to managing cybersecurity risk and is composed of three parts: </w:t>
      </w:r>
      <w:r w:rsidRPr="008B1DFD">
        <w:rPr>
          <w:rFonts w:asciiTheme="majorHAnsi" w:hAnsiTheme="majorHAnsi" w:cstheme="majorHAnsi"/>
          <w:b/>
          <w:bCs/>
          <w:color w:val="000000" w:themeColor="text1"/>
          <w:sz w:val="24"/>
          <w:szCs w:val="24"/>
        </w:rPr>
        <w:t>The Framework Core, the Framework Implementation Tiers, and the Framework Profiles</w:t>
      </w:r>
      <w:r w:rsidRPr="008B1DFD">
        <w:rPr>
          <w:rFonts w:asciiTheme="majorHAnsi" w:hAnsiTheme="majorHAnsi" w:cstheme="majorHAnsi"/>
          <w:color w:val="000000" w:themeColor="text1"/>
          <w:sz w:val="24"/>
          <w:szCs w:val="24"/>
        </w:rPr>
        <w:t>. Each Framework component reinforces the connection between business/mission drivers and cybersecurity activities.</w:t>
      </w:r>
    </w:p>
    <w:p w14:paraId="572424E9" w14:textId="283AB094" w:rsidR="00E94810" w:rsidRPr="008B1DFD" w:rsidRDefault="00E94810" w:rsidP="00E94810">
      <w:pPr>
        <w:pStyle w:val="ListParagraph"/>
        <w:numPr>
          <w:ilvl w:val="0"/>
          <w:numId w:val="5"/>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Market addressed</w:t>
      </w:r>
      <w:r w:rsidR="00385A17" w:rsidRPr="008B1DFD">
        <w:rPr>
          <w:rFonts w:asciiTheme="majorHAnsi" w:eastAsia="Times New Roman" w:hAnsiTheme="majorHAnsi" w:cstheme="majorHAnsi"/>
          <w:color w:val="000000" w:themeColor="text1"/>
          <w:sz w:val="24"/>
          <w:szCs w:val="24"/>
        </w:rPr>
        <w:t xml:space="preserve">- </w:t>
      </w:r>
      <w:r w:rsidR="00385A17" w:rsidRPr="008B1DFD">
        <w:rPr>
          <w:rFonts w:asciiTheme="majorHAnsi" w:hAnsiTheme="majorHAnsi" w:cstheme="majorHAnsi"/>
          <w:color w:val="000000" w:themeColor="text1"/>
          <w:sz w:val="24"/>
          <w:szCs w:val="24"/>
        </w:rPr>
        <w:t>United States depends on the reliable functioning of critical infrastructure.</w:t>
      </w:r>
    </w:p>
    <w:p w14:paraId="72CDAAF3" w14:textId="77777777" w:rsidR="00E94810" w:rsidRPr="008B1DFD" w:rsidRDefault="00E94810" w:rsidP="00E94810">
      <w:pPr>
        <w:pStyle w:val="ListParagraph"/>
        <w:spacing w:after="0" w:line="240" w:lineRule="auto"/>
        <w:rPr>
          <w:rFonts w:asciiTheme="majorHAnsi" w:eastAsia="Times New Roman" w:hAnsiTheme="majorHAnsi" w:cstheme="majorHAnsi"/>
          <w:color w:val="000000" w:themeColor="text1"/>
          <w:sz w:val="24"/>
          <w:szCs w:val="24"/>
        </w:rPr>
      </w:pPr>
    </w:p>
    <w:p w14:paraId="7F5AC960" w14:textId="66139E8E" w:rsidR="00E94810" w:rsidRPr="008B1DFD" w:rsidRDefault="00E94810" w:rsidP="00E94810">
      <w:pPr>
        <w:pStyle w:val="ListParagraph"/>
        <w:numPr>
          <w:ilvl w:val="0"/>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NIST Risk Management Framework (RMF)</w:t>
      </w:r>
      <w:r w:rsidR="00C1568D" w:rsidRPr="008B1DFD">
        <w:rPr>
          <w:rFonts w:asciiTheme="majorHAnsi" w:hAnsiTheme="majorHAnsi" w:cstheme="majorHAnsi"/>
          <w:b/>
          <w:bCs/>
          <w:color w:val="000000" w:themeColor="text1"/>
          <w:sz w:val="24"/>
          <w:szCs w:val="24"/>
          <w:u w:val="single"/>
        </w:rPr>
        <w:t xml:space="preserve">: </w:t>
      </w:r>
      <w:r w:rsidR="00C1568D" w:rsidRPr="008B1DFD">
        <w:rPr>
          <w:rFonts w:asciiTheme="majorHAnsi" w:hAnsiTheme="majorHAnsi" w:cstheme="majorHAnsi"/>
          <w:color w:val="000000" w:themeColor="text1"/>
          <w:sz w:val="24"/>
          <w:szCs w:val="24"/>
        </w:rPr>
        <w:t>The Risk Management Framework (RMF) is a set of criteria that dictate how United States government IT systems must be architected, secured, and monitored.</w:t>
      </w:r>
    </w:p>
    <w:p w14:paraId="3FD853CB" w14:textId="77777777" w:rsidR="00C1568D" w:rsidRPr="008B1DFD" w:rsidRDefault="00C1568D" w:rsidP="00C1568D">
      <w:pPr>
        <w:pStyle w:val="ListParagraph"/>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Original Objectives of the NIST RMF</w:t>
      </w:r>
    </w:p>
    <w:p w14:paraId="688418FC" w14:textId="4613B6B0"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Categorize the information system and the information processed Select security controls.</w:t>
      </w:r>
    </w:p>
    <w:p w14:paraId="7EF91496" w14:textId="6263A49A"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Select an initial set of baseline security controls.</w:t>
      </w:r>
    </w:p>
    <w:p w14:paraId="3E6CCDF7" w14:textId="23AE938B"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Implement the security controls.</w:t>
      </w:r>
    </w:p>
    <w:p w14:paraId="29673828" w14:textId="7B5F0F0A"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Assess the security controls.</w:t>
      </w:r>
    </w:p>
    <w:p w14:paraId="39FC4E7B" w14:textId="08D0E0C8"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lastRenderedPageBreak/>
        <w:t>Authorize the information system operation based on residual risk.</w:t>
      </w:r>
    </w:p>
    <w:p w14:paraId="5B18FCA9" w14:textId="504C0CBB" w:rsidR="00C1568D" w:rsidRPr="008B1DFD" w:rsidRDefault="00C1568D" w:rsidP="00395466">
      <w:pPr>
        <w:pStyle w:val="ListParagraph"/>
        <w:numPr>
          <w:ilvl w:val="1"/>
          <w:numId w:val="5"/>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Monitor the security controls effectiveness.</w:t>
      </w:r>
    </w:p>
    <w:p w14:paraId="48347C98" w14:textId="56275A71" w:rsidR="00E94810" w:rsidRPr="008B1DFD" w:rsidRDefault="00E94810" w:rsidP="00E94810">
      <w:pPr>
        <w:pStyle w:val="ListParagraph"/>
        <w:numPr>
          <w:ilvl w:val="0"/>
          <w:numId w:val="12"/>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Market addressed</w:t>
      </w:r>
      <w:r w:rsidR="00C1568D" w:rsidRPr="008B1DFD">
        <w:rPr>
          <w:rFonts w:asciiTheme="majorHAnsi" w:eastAsia="Times New Roman" w:hAnsiTheme="majorHAnsi" w:cstheme="majorHAnsi"/>
          <w:color w:val="000000" w:themeColor="text1"/>
          <w:sz w:val="24"/>
          <w:szCs w:val="24"/>
        </w:rPr>
        <w:t>-</w:t>
      </w:r>
      <w:r w:rsidR="00C6645F" w:rsidRPr="008B1DFD">
        <w:rPr>
          <w:rFonts w:asciiTheme="majorHAnsi" w:hAnsiTheme="majorHAnsi" w:cstheme="majorHAnsi"/>
          <w:color w:val="000000" w:themeColor="text1"/>
          <w:sz w:val="24"/>
          <w:szCs w:val="24"/>
        </w:rPr>
        <w:t xml:space="preserve"> </w:t>
      </w:r>
      <w:r w:rsidR="00C6645F" w:rsidRPr="008B1DFD">
        <w:rPr>
          <w:rFonts w:asciiTheme="majorHAnsi" w:hAnsiTheme="majorHAnsi" w:cstheme="majorHAnsi"/>
          <w:color w:val="000000" w:themeColor="text1"/>
          <w:sz w:val="24"/>
          <w:szCs w:val="24"/>
          <w:shd w:val="clear" w:color="auto" w:fill="FFFFFF"/>
        </w:rPr>
        <w:t>United States federal government policy and standards to help secure information systems (computers and networks) developed by National Institute of Standards and Technology</w:t>
      </w:r>
    </w:p>
    <w:p w14:paraId="2A13856D" w14:textId="761F46E7" w:rsidR="00C6645F" w:rsidRPr="008B1DFD" w:rsidRDefault="00E94810" w:rsidP="00C6645F">
      <w:pPr>
        <w:pStyle w:val="ListParagraph"/>
        <w:numPr>
          <w:ilvl w:val="0"/>
          <w:numId w:val="12"/>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Specific requirements for standards</w:t>
      </w:r>
      <w:r w:rsidR="00C6645F" w:rsidRPr="008B1DFD">
        <w:rPr>
          <w:rFonts w:asciiTheme="majorHAnsi" w:eastAsia="Times New Roman" w:hAnsiTheme="majorHAnsi" w:cstheme="majorHAnsi"/>
          <w:color w:val="000000" w:themeColor="text1"/>
          <w:sz w:val="24"/>
          <w:szCs w:val="24"/>
        </w:rPr>
        <w:t xml:space="preserve">-  </w:t>
      </w:r>
      <w:r w:rsidR="00C6645F" w:rsidRPr="008B1DFD">
        <w:rPr>
          <w:rFonts w:asciiTheme="majorHAnsi" w:hAnsiTheme="majorHAnsi" w:cstheme="majorHAnsi"/>
          <w:b/>
          <w:bCs/>
          <w:color w:val="000000" w:themeColor="text1"/>
          <w:sz w:val="24"/>
          <w:szCs w:val="24"/>
        </w:rPr>
        <w:t>Committee on National Security Systems</w:t>
      </w:r>
      <w:r w:rsidR="00C6645F" w:rsidRPr="008B1DFD">
        <w:rPr>
          <w:rFonts w:asciiTheme="majorHAnsi" w:hAnsiTheme="majorHAnsi" w:cstheme="majorHAnsi"/>
          <w:color w:val="000000" w:themeColor="text1"/>
          <w:sz w:val="24"/>
          <w:szCs w:val="24"/>
        </w:rPr>
        <w:t xml:space="preserve"> for specific national security systems/operational environments, such as: space platform, privacy , </w:t>
      </w:r>
      <w:r w:rsidR="00C6645F" w:rsidRPr="008B1DFD">
        <w:rPr>
          <w:rFonts w:asciiTheme="majorHAnsi" w:hAnsiTheme="majorHAnsi" w:cstheme="majorHAnsi"/>
          <w:b/>
          <w:bCs/>
          <w:color w:val="000000" w:themeColor="text1"/>
          <w:sz w:val="24"/>
          <w:szCs w:val="24"/>
        </w:rPr>
        <w:t>Federal Risk and Authorization Management Program (FedRAMP)</w:t>
      </w:r>
      <w:r w:rsidR="00C6645F" w:rsidRPr="008B1DFD">
        <w:rPr>
          <w:rFonts w:asciiTheme="majorHAnsi" w:hAnsiTheme="majorHAnsi" w:cstheme="majorHAnsi"/>
          <w:color w:val="000000" w:themeColor="text1"/>
          <w:sz w:val="24"/>
          <w:szCs w:val="24"/>
        </w:rPr>
        <w:t xml:space="preserve"> provides a standardized approach to security assessment, authorization, and continuous monitoring for cloud products and services.</w:t>
      </w:r>
    </w:p>
    <w:p w14:paraId="5D0FF4F0" w14:textId="77777777" w:rsidR="00E94810" w:rsidRPr="008B1DFD" w:rsidRDefault="00E94810" w:rsidP="00C6645F">
      <w:pPr>
        <w:pStyle w:val="ListParagraph"/>
        <w:spacing w:after="0" w:line="240" w:lineRule="auto"/>
        <w:ind w:left="1080"/>
        <w:rPr>
          <w:rFonts w:asciiTheme="majorHAnsi" w:eastAsia="Times New Roman" w:hAnsiTheme="majorHAnsi" w:cstheme="majorHAnsi"/>
          <w:color w:val="000000" w:themeColor="text1"/>
          <w:sz w:val="24"/>
          <w:szCs w:val="24"/>
        </w:rPr>
      </w:pPr>
    </w:p>
    <w:p w14:paraId="6EB7240D" w14:textId="77777777" w:rsidR="00E94810" w:rsidRPr="008B1DFD" w:rsidRDefault="00E94810" w:rsidP="00E94810">
      <w:pPr>
        <w:pStyle w:val="ListParagraph"/>
        <w:rPr>
          <w:rFonts w:asciiTheme="majorHAnsi" w:hAnsiTheme="majorHAnsi" w:cstheme="majorHAnsi"/>
          <w:color w:val="000000" w:themeColor="text1"/>
          <w:sz w:val="24"/>
          <w:szCs w:val="24"/>
        </w:rPr>
      </w:pPr>
    </w:p>
    <w:p w14:paraId="752B2B62" w14:textId="016E7439" w:rsidR="00E94810" w:rsidRPr="008B1DFD" w:rsidRDefault="00E94810" w:rsidP="00E94810">
      <w:pPr>
        <w:pStyle w:val="ListParagraph"/>
        <w:numPr>
          <w:ilvl w:val="0"/>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NIST Security and Privacy Controls for Federal Information Systems and Organizations (SP 800-53 Revision 4)</w:t>
      </w:r>
    </w:p>
    <w:p w14:paraId="056D5C58" w14:textId="60B98142" w:rsidR="00C6645F" w:rsidRPr="008B1DFD" w:rsidRDefault="00C6645F" w:rsidP="00C6645F">
      <w:pPr>
        <w:pStyle w:val="ListParagraph"/>
        <w:rPr>
          <w:rFonts w:asciiTheme="majorHAnsi" w:hAnsiTheme="majorHAnsi" w:cstheme="majorHAnsi"/>
          <w:color w:val="000000" w:themeColor="text1"/>
          <w:sz w:val="24"/>
          <w:szCs w:val="24"/>
          <w:shd w:val="clear" w:color="auto" w:fill="FFFFFF"/>
        </w:rPr>
      </w:pPr>
      <w:r w:rsidRPr="008B1DFD">
        <w:rPr>
          <w:rFonts w:asciiTheme="majorHAnsi" w:hAnsiTheme="majorHAnsi" w:cstheme="majorHAnsi"/>
          <w:color w:val="000000" w:themeColor="text1"/>
          <w:sz w:val="24"/>
          <w:szCs w:val="24"/>
          <w:shd w:val="clear" w:color="auto" w:fill="FFFFFF"/>
        </w:rPr>
        <w:t>The objective of NIST SP 800-53 is to provide a set of security controls that can satisfy the breadth and depth of security requirements levied on information systems and organizations and that is consistent with and complementary to other established information security standards</w:t>
      </w:r>
      <w:r w:rsidR="0033518A" w:rsidRPr="008B1DFD">
        <w:rPr>
          <w:rFonts w:asciiTheme="majorHAnsi" w:hAnsiTheme="majorHAnsi" w:cstheme="majorHAnsi"/>
          <w:color w:val="000000" w:themeColor="text1"/>
          <w:sz w:val="24"/>
          <w:szCs w:val="24"/>
          <w:shd w:val="clear" w:color="auto" w:fill="FFFFFF"/>
        </w:rPr>
        <w:t>.</w:t>
      </w:r>
    </w:p>
    <w:p w14:paraId="47A0B2B8" w14:textId="5BA5B89E" w:rsidR="0033518A" w:rsidRPr="008B1DFD" w:rsidRDefault="0033518A" w:rsidP="00C6645F">
      <w:pPr>
        <w:pStyle w:val="ListParagraph"/>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shd w:val="clear" w:color="auto" w:fill="FFFFFF"/>
        </w:rPr>
        <w:t>SP 800-53 Revision 4 provides the</w:t>
      </w:r>
      <w:r w:rsidRPr="008B1DFD">
        <w:rPr>
          <w:rStyle w:val="Strong"/>
          <w:rFonts w:asciiTheme="majorHAnsi" w:hAnsiTheme="majorHAnsi" w:cstheme="majorHAnsi"/>
          <w:color w:val="000000" w:themeColor="text1"/>
          <w:sz w:val="24"/>
          <w:szCs w:val="24"/>
          <w:shd w:val="clear" w:color="auto" w:fill="FFFFFF"/>
        </w:rPr>
        <w:t> security control baselines</w:t>
      </w:r>
      <w:r w:rsidRPr="008B1DFD">
        <w:rPr>
          <w:rFonts w:asciiTheme="majorHAnsi" w:hAnsiTheme="majorHAnsi" w:cstheme="majorHAnsi"/>
          <w:color w:val="000000" w:themeColor="text1"/>
          <w:sz w:val="24"/>
          <w:szCs w:val="24"/>
          <w:shd w:val="clear" w:color="auto" w:fill="FFFFFF"/>
        </w:rPr>
        <w:t> as the starting point for the</w:t>
      </w:r>
      <w:r w:rsidRPr="008B1DFD">
        <w:rPr>
          <w:rStyle w:val="Strong"/>
          <w:rFonts w:asciiTheme="majorHAnsi" w:hAnsiTheme="majorHAnsi" w:cstheme="majorHAnsi"/>
          <w:color w:val="000000" w:themeColor="text1"/>
          <w:sz w:val="24"/>
          <w:szCs w:val="24"/>
          <w:shd w:val="clear" w:color="auto" w:fill="FFFFFF"/>
        </w:rPr>
        <w:t> security control</w:t>
      </w:r>
      <w:r w:rsidRPr="008B1DFD">
        <w:rPr>
          <w:rFonts w:asciiTheme="majorHAnsi" w:hAnsiTheme="majorHAnsi" w:cstheme="majorHAnsi"/>
          <w:color w:val="000000" w:themeColor="text1"/>
          <w:sz w:val="24"/>
          <w:szCs w:val="24"/>
          <w:shd w:val="clear" w:color="auto" w:fill="FFFFFF"/>
        </w:rPr>
        <w:t> selection process.</w:t>
      </w:r>
    </w:p>
    <w:p w14:paraId="5081A137" w14:textId="1090C71D" w:rsidR="00E94810" w:rsidRPr="008B1DFD" w:rsidRDefault="00E94810" w:rsidP="00E94810">
      <w:pPr>
        <w:pStyle w:val="ListParagraph"/>
        <w:numPr>
          <w:ilvl w:val="0"/>
          <w:numId w:val="11"/>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Market addressed</w:t>
      </w:r>
      <w:r w:rsidR="0033518A" w:rsidRPr="008B1DFD">
        <w:rPr>
          <w:rFonts w:asciiTheme="majorHAnsi" w:eastAsia="Times New Roman" w:hAnsiTheme="majorHAnsi" w:cstheme="majorHAnsi"/>
          <w:color w:val="000000" w:themeColor="text1"/>
          <w:sz w:val="24"/>
          <w:szCs w:val="24"/>
        </w:rPr>
        <w:t xml:space="preserve">- </w:t>
      </w:r>
      <w:r w:rsidR="0033518A" w:rsidRPr="008B1DFD">
        <w:rPr>
          <w:rFonts w:asciiTheme="majorHAnsi" w:hAnsiTheme="majorHAnsi" w:cstheme="majorHAnsi"/>
          <w:color w:val="000000" w:themeColor="text1"/>
          <w:sz w:val="24"/>
          <w:szCs w:val="24"/>
        </w:rPr>
        <w:t>U.S. Department of Defense, the Intelligence Community, the Committee on National Security Systems, the Department of Homeland Security, and U.S. federal civil agencies.</w:t>
      </w:r>
    </w:p>
    <w:p w14:paraId="1DF7D60A" w14:textId="5FC9C73D" w:rsidR="00E94810" w:rsidRPr="008B1DFD" w:rsidRDefault="00E94810" w:rsidP="00E94810">
      <w:pPr>
        <w:pStyle w:val="ListParagraph"/>
        <w:numPr>
          <w:ilvl w:val="0"/>
          <w:numId w:val="11"/>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Specific requirements for standards</w:t>
      </w:r>
      <w:r w:rsidR="0033518A" w:rsidRPr="008B1DFD">
        <w:rPr>
          <w:rFonts w:asciiTheme="majorHAnsi" w:eastAsia="Times New Roman" w:hAnsiTheme="majorHAnsi" w:cstheme="majorHAnsi"/>
          <w:color w:val="000000" w:themeColor="text1"/>
          <w:sz w:val="24"/>
          <w:szCs w:val="24"/>
        </w:rPr>
        <w:t xml:space="preserve">- </w:t>
      </w:r>
      <w:r w:rsidR="0033518A" w:rsidRPr="008B1DFD">
        <w:rPr>
          <w:rFonts w:asciiTheme="majorHAnsi" w:hAnsiTheme="majorHAnsi" w:cstheme="majorHAnsi"/>
          <w:color w:val="000000" w:themeColor="text1"/>
          <w:sz w:val="24"/>
          <w:szCs w:val="24"/>
        </w:rPr>
        <w:t>ISO/IEC provides functionality and assurance requirements for developers of information systems and information system components.</w:t>
      </w:r>
    </w:p>
    <w:p w14:paraId="2506F762" w14:textId="77777777" w:rsidR="00CF73A4" w:rsidRDefault="00CF73A4" w:rsidP="00CF73A4">
      <w:pPr>
        <w:ind w:left="360"/>
        <w:rPr>
          <w:rFonts w:cstheme="minorHAnsi"/>
          <w:b/>
          <w:bCs/>
          <w:sz w:val="24"/>
          <w:szCs w:val="24"/>
        </w:rPr>
      </w:pPr>
    </w:p>
    <w:p w14:paraId="174D2E31" w14:textId="77777777" w:rsidR="00CF73A4" w:rsidRPr="00F66692" w:rsidRDefault="00CF73A4" w:rsidP="00CF73A4">
      <w:pPr>
        <w:pStyle w:val="NormalWeb"/>
        <w:spacing w:before="240" w:beforeAutospacing="0" w:after="0" w:afterAutospacing="0"/>
        <w:rPr>
          <w:rFonts w:asciiTheme="minorHAnsi" w:hAnsiTheme="minorHAnsi" w:cstheme="minorHAnsi"/>
          <w:color w:val="000000"/>
        </w:rPr>
      </w:pPr>
      <w:r w:rsidRPr="00F66692">
        <w:rPr>
          <w:rFonts w:asciiTheme="minorHAnsi" w:hAnsiTheme="minorHAnsi" w:cstheme="minorHAnsi"/>
          <w:color w:val="000000"/>
        </w:rPr>
        <w:t>The most significant changes to SP 800-53, Revision 5 include:</w:t>
      </w:r>
    </w:p>
    <w:p w14:paraId="06F1BB23"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t>Consolidating the control catalog:</w:t>
      </w:r>
      <w:r w:rsidRPr="00F66692">
        <w:rPr>
          <w:rFonts w:cstheme="minorHAnsi"/>
          <w:color w:val="000000"/>
          <w:sz w:val="24"/>
          <w:szCs w:val="24"/>
        </w:rPr>
        <w:t> Information security and privacy controls are now integrated into a seamless, consolidated control catalog for information systems and organizations.</w:t>
      </w:r>
    </w:p>
    <w:p w14:paraId="02A4DD13"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t>Integrating supply chain risk management:</w:t>
      </w:r>
      <w:r w:rsidRPr="00F66692">
        <w:rPr>
          <w:rFonts w:cstheme="minorHAnsi"/>
          <w:color w:val="000000"/>
          <w:sz w:val="24"/>
          <w:szCs w:val="24"/>
        </w:rPr>
        <w:t> Rev. 5 establishes a new supply chain risk management (SCRM) control family and integrates SCRM aspects throughout the catalog.</w:t>
      </w:r>
    </w:p>
    <w:p w14:paraId="09C1CD97"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t>Adding new state-of-the-practice controls:</w:t>
      </w:r>
      <w:r w:rsidRPr="00F66692">
        <w:rPr>
          <w:rFonts w:cstheme="minorHAnsi"/>
          <w:color w:val="000000"/>
          <w:sz w:val="24"/>
          <w:szCs w:val="24"/>
        </w:rPr>
        <w:t> These are based on the latest threat intelligence and cyber-attack data (e.g., controls to support cyber resiliency, secure systems design, security and privacy governance, and accountability).</w:t>
      </w:r>
    </w:p>
    <w:p w14:paraId="6AF8C95C"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t>Making controls outcome-based:</w:t>
      </w:r>
      <w:r w:rsidRPr="00F66692">
        <w:rPr>
          <w:rFonts w:cstheme="minorHAnsi"/>
          <w:color w:val="000000"/>
          <w:sz w:val="24"/>
          <w:szCs w:val="24"/>
        </w:rPr>
        <w:t> Rev. 5 accomplishes this by removing the entity responsible for satisfying the control (i.e., information system, organization) from the control statement.</w:t>
      </w:r>
    </w:p>
    <w:p w14:paraId="6551C566"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lastRenderedPageBreak/>
        <w:t>Improving descriptions of content relationships:</w:t>
      </w:r>
      <w:r w:rsidRPr="00F66692">
        <w:rPr>
          <w:rFonts w:cstheme="minorHAnsi"/>
          <w:color w:val="000000"/>
          <w:sz w:val="24"/>
          <w:szCs w:val="24"/>
        </w:rPr>
        <w:t> Rev. 5 clarifies the relationship between requirements and controls as well as the relationship between security and privacy controls.</w:t>
      </w:r>
    </w:p>
    <w:p w14:paraId="0D0EB5D8" w14:textId="77777777" w:rsidR="00CF73A4" w:rsidRPr="00F66692" w:rsidRDefault="00CF73A4" w:rsidP="00CF73A4">
      <w:pPr>
        <w:numPr>
          <w:ilvl w:val="0"/>
          <w:numId w:val="28"/>
        </w:numPr>
        <w:spacing w:before="100" w:beforeAutospacing="1" w:after="60" w:line="240" w:lineRule="auto"/>
        <w:rPr>
          <w:rFonts w:cstheme="minorHAnsi"/>
          <w:color w:val="000000"/>
          <w:sz w:val="24"/>
          <w:szCs w:val="24"/>
        </w:rPr>
      </w:pPr>
      <w:r w:rsidRPr="00F66692">
        <w:rPr>
          <w:rStyle w:val="Strong"/>
          <w:rFonts w:cstheme="minorHAnsi"/>
          <w:color w:val="000000"/>
          <w:sz w:val="24"/>
          <w:szCs w:val="24"/>
        </w:rPr>
        <w:t>Separating the control selection processes from the controls:</w:t>
      </w:r>
      <w:r w:rsidRPr="00F66692">
        <w:rPr>
          <w:rFonts w:cstheme="minorHAnsi"/>
          <w:color w:val="000000"/>
          <w:sz w:val="24"/>
          <w:szCs w:val="24"/>
        </w:rPr>
        <w:t> This allows the controls to be used by different communities of interest, including systems engineers, security architects, software developers, enterprise architects, systems security and privacy engineers, and mission or business owners.</w:t>
      </w:r>
    </w:p>
    <w:p w14:paraId="0862E681" w14:textId="77777777" w:rsidR="00CF73A4" w:rsidRPr="00F66692" w:rsidRDefault="00CF73A4" w:rsidP="00CF73A4">
      <w:pPr>
        <w:numPr>
          <w:ilvl w:val="0"/>
          <w:numId w:val="28"/>
        </w:numPr>
        <w:spacing w:before="100" w:beforeAutospacing="1" w:after="0" w:line="240" w:lineRule="auto"/>
        <w:rPr>
          <w:rFonts w:cstheme="minorHAnsi"/>
          <w:color w:val="000000"/>
          <w:sz w:val="24"/>
          <w:szCs w:val="24"/>
        </w:rPr>
      </w:pPr>
      <w:r w:rsidRPr="00F66692">
        <w:rPr>
          <w:rStyle w:val="Strong"/>
          <w:rFonts w:cstheme="minorHAnsi"/>
          <w:color w:val="000000"/>
          <w:sz w:val="24"/>
          <w:szCs w:val="24"/>
        </w:rPr>
        <w:t>Transferring control baselines and tailoring guidance to NIST SP 800-53B:</w:t>
      </w:r>
      <w:r w:rsidRPr="00F66692">
        <w:rPr>
          <w:rFonts w:cstheme="minorHAnsi"/>
          <w:color w:val="000000"/>
          <w:sz w:val="24"/>
          <w:szCs w:val="24"/>
        </w:rPr>
        <w:t> This content has moved to the new (draft) </w:t>
      </w:r>
      <w:r w:rsidRPr="00F66692">
        <w:rPr>
          <w:rStyle w:val="Emphasis"/>
          <w:rFonts w:cstheme="minorHAnsi"/>
          <w:color w:val="000000"/>
          <w:sz w:val="24"/>
          <w:szCs w:val="24"/>
        </w:rPr>
        <w:t>Control Baselines for Information Systems and Organizations.</w:t>
      </w:r>
    </w:p>
    <w:p w14:paraId="5BCC433B" w14:textId="77777777" w:rsidR="00E94810" w:rsidRPr="008B1DFD" w:rsidRDefault="00E94810" w:rsidP="00E94810">
      <w:pPr>
        <w:pStyle w:val="ListParagraph"/>
        <w:rPr>
          <w:rFonts w:asciiTheme="majorHAnsi" w:hAnsiTheme="majorHAnsi" w:cstheme="majorHAnsi"/>
          <w:color w:val="000000" w:themeColor="text1"/>
          <w:sz w:val="24"/>
          <w:szCs w:val="24"/>
        </w:rPr>
      </w:pPr>
    </w:p>
    <w:p w14:paraId="25F24EF8" w14:textId="77777777" w:rsidR="00E94810" w:rsidRPr="008B1DFD" w:rsidRDefault="00E94810" w:rsidP="00E94810">
      <w:pPr>
        <w:pStyle w:val="ListParagraph"/>
        <w:rPr>
          <w:rFonts w:asciiTheme="majorHAnsi" w:hAnsiTheme="majorHAnsi" w:cstheme="majorHAnsi"/>
          <w:color w:val="000000" w:themeColor="text1"/>
          <w:sz w:val="24"/>
          <w:szCs w:val="24"/>
        </w:rPr>
      </w:pPr>
    </w:p>
    <w:p w14:paraId="56BB4E85" w14:textId="2513BFCF" w:rsidR="00E94810" w:rsidRPr="008B1DFD" w:rsidRDefault="00E94810" w:rsidP="00E94810">
      <w:pPr>
        <w:pStyle w:val="ListParagraph"/>
        <w:numPr>
          <w:ilvl w:val="0"/>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Association for the Advancement of Medical Instrumentation (AAMI) Technical Information Report (TIR57)</w:t>
      </w:r>
    </w:p>
    <w:p w14:paraId="1392B5F8" w14:textId="77777777" w:rsidR="006A6F4E" w:rsidRPr="008B1DFD" w:rsidRDefault="006A6F4E" w:rsidP="006A6F4E">
      <w:pPr>
        <w:pStyle w:val="ListParagraph"/>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This technical information report (TIR) was developed by the Device Security Working Group.</w:t>
      </w:r>
    </w:p>
    <w:p w14:paraId="7A60EF9D" w14:textId="4EB868A1" w:rsidR="006A6F4E" w:rsidRPr="008B1DFD" w:rsidRDefault="006A6F4E" w:rsidP="006A6F4E">
      <w:pPr>
        <w:pStyle w:val="ListParagraph"/>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 xml:space="preserve">The objective of this TIR is to provide guidance on how medical device manufacturers can manage risks from security threats that could impact the confidentiality, integrity, and/or availability of the device or the information processed by the device. </w:t>
      </w:r>
    </w:p>
    <w:p w14:paraId="01B2300F" w14:textId="2A5BD449" w:rsidR="006A6F4E" w:rsidRPr="008B1DFD" w:rsidRDefault="006A6F4E" w:rsidP="006A6F4E">
      <w:pPr>
        <w:pStyle w:val="ListParagraph"/>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Because medical device manufacturers are already familiar with ANSI/AAMI/ISO 14971:2007, this guidance follows the basic structure of that standard.</w:t>
      </w:r>
    </w:p>
    <w:p w14:paraId="390F3323" w14:textId="77777777" w:rsidR="006A6F4E" w:rsidRPr="008B1DFD" w:rsidRDefault="006A6F4E" w:rsidP="00395466">
      <w:pPr>
        <w:pStyle w:val="ListParagraph"/>
        <w:numPr>
          <w:ilvl w:val="0"/>
          <w:numId w:val="17"/>
        </w:numPr>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rPr>
        <w:t xml:space="preserve">This TIR provides guidance for addressing information security within the risk management framework defined by ANSI/AAMI/ISO 14971. </w:t>
      </w:r>
    </w:p>
    <w:p w14:paraId="1FEBAF1E" w14:textId="3B7A8CC6" w:rsidR="006A6F4E" w:rsidRPr="008B1DFD" w:rsidRDefault="006A6F4E" w:rsidP="00395466">
      <w:pPr>
        <w:pStyle w:val="ListParagraph"/>
        <w:numPr>
          <w:ilvl w:val="0"/>
          <w:numId w:val="17"/>
        </w:numPr>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rPr>
        <w:t>This guidance is intended to assist manufacturers and other users of the standard in the following:  identifying threats, vulnerabilities, and assets associated with medical devices</w:t>
      </w:r>
      <w:r w:rsidR="00395466" w:rsidRPr="008B1DFD">
        <w:rPr>
          <w:rFonts w:asciiTheme="majorHAnsi" w:hAnsiTheme="majorHAnsi" w:cstheme="majorHAnsi"/>
          <w:color w:val="000000" w:themeColor="text1"/>
          <w:sz w:val="24"/>
          <w:szCs w:val="24"/>
        </w:rPr>
        <w:t xml:space="preserve">, </w:t>
      </w:r>
      <w:r w:rsidRPr="008B1DFD">
        <w:rPr>
          <w:rFonts w:asciiTheme="majorHAnsi" w:hAnsiTheme="majorHAnsi" w:cstheme="majorHAnsi"/>
          <w:color w:val="000000" w:themeColor="text1"/>
          <w:sz w:val="24"/>
          <w:szCs w:val="24"/>
        </w:rPr>
        <w:t>estimating and evaluating associated security risks  controlling security risks</w:t>
      </w:r>
      <w:r w:rsidR="00395466" w:rsidRPr="008B1DFD">
        <w:rPr>
          <w:rFonts w:asciiTheme="majorHAnsi" w:hAnsiTheme="majorHAnsi" w:cstheme="majorHAnsi"/>
          <w:color w:val="000000" w:themeColor="text1"/>
          <w:sz w:val="24"/>
          <w:szCs w:val="24"/>
        </w:rPr>
        <w:t xml:space="preserve"> </w:t>
      </w:r>
      <w:r w:rsidRPr="008B1DFD">
        <w:rPr>
          <w:rFonts w:asciiTheme="majorHAnsi" w:hAnsiTheme="majorHAnsi" w:cstheme="majorHAnsi"/>
          <w:color w:val="000000" w:themeColor="text1"/>
          <w:sz w:val="24"/>
          <w:szCs w:val="24"/>
        </w:rPr>
        <w:t>and  monitoring effectiveness of the risk controls.</w:t>
      </w:r>
    </w:p>
    <w:p w14:paraId="47DAF587" w14:textId="1A863995" w:rsidR="00E94810" w:rsidRPr="008B1DFD" w:rsidRDefault="00E94810" w:rsidP="00E94810">
      <w:pPr>
        <w:pStyle w:val="ListParagraph"/>
        <w:numPr>
          <w:ilvl w:val="0"/>
          <w:numId w:val="10"/>
        </w:numPr>
        <w:spacing w:after="0" w:line="240" w:lineRule="auto"/>
        <w:rPr>
          <w:rFonts w:asciiTheme="majorHAnsi" w:eastAsia="Times New Roman" w:hAnsiTheme="majorHAnsi" w:cstheme="majorHAnsi"/>
          <w:color w:val="000000" w:themeColor="text1"/>
          <w:sz w:val="24"/>
          <w:szCs w:val="24"/>
        </w:rPr>
      </w:pPr>
      <w:r w:rsidRPr="008B1DFD">
        <w:rPr>
          <w:rFonts w:asciiTheme="majorHAnsi" w:eastAsia="Times New Roman" w:hAnsiTheme="majorHAnsi" w:cstheme="majorHAnsi"/>
          <w:color w:val="000000" w:themeColor="text1"/>
          <w:sz w:val="24"/>
          <w:szCs w:val="24"/>
        </w:rPr>
        <w:t>Market addressed</w:t>
      </w:r>
      <w:r w:rsidR="006A6F4E" w:rsidRPr="008B1DFD">
        <w:rPr>
          <w:rFonts w:asciiTheme="majorHAnsi" w:eastAsia="Times New Roman" w:hAnsiTheme="majorHAnsi" w:cstheme="majorHAnsi"/>
          <w:color w:val="000000" w:themeColor="text1"/>
          <w:sz w:val="24"/>
          <w:szCs w:val="24"/>
        </w:rPr>
        <w:t xml:space="preserve">- </w:t>
      </w:r>
      <w:r w:rsidR="006A6F4E" w:rsidRPr="008B1DFD">
        <w:rPr>
          <w:rFonts w:asciiTheme="majorHAnsi" w:hAnsiTheme="majorHAnsi" w:cstheme="majorHAnsi"/>
          <w:color w:val="000000" w:themeColor="text1"/>
          <w:sz w:val="24"/>
          <w:szCs w:val="24"/>
        </w:rPr>
        <w:t>European Committee for Standardization</w:t>
      </w:r>
    </w:p>
    <w:p w14:paraId="0F3CDC7D" w14:textId="77777777" w:rsidR="00E94810" w:rsidRPr="008B1DFD" w:rsidRDefault="00E94810" w:rsidP="00E94810">
      <w:pPr>
        <w:pStyle w:val="ListParagraph"/>
        <w:rPr>
          <w:rFonts w:asciiTheme="majorHAnsi" w:hAnsiTheme="majorHAnsi" w:cstheme="majorHAnsi"/>
          <w:color w:val="000000" w:themeColor="text1"/>
          <w:sz w:val="24"/>
          <w:szCs w:val="24"/>
        </w:rPr>
      </w:pPr>
    </w:p>
    <w:p w14:paraId="356F67CD" w14:textId="29970CF7" w:rsidR="00E94810" w:rsidRPr="008B1DFD" w:rsidRDefault="00E94810" w:rsidP="00E94810">
      <w:pPr>
        <w:pStyle w:val="ListParagraph"/>
        <w:numPr>
          <w:ilvl w:val="0"/>
          <w:numId w:val="1"/>
        </w:numPr>
        <w:spacing w:after="0" w:line="240" w:lineRule="auto"/>
        <w:rPr>
          <w:rFonts w:asciiTheme="majorHAnsi" w:eastAsia="Times New Roman"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IEC Application of risk management for IT-networks incorporating medical devices (ISO 80001-2)</w:t>
      </w:r>
    </w:p>
    <w:p w14:paraId="01FE2DAA" w14:textId="77777777" w:rsidR="00FD6BE9" w:rsidRPr="008B1DFD" w:rsidRDefault="00FD6BE9" w:rsidP="00FD6BE9">
      <w:pPr>
        <w:pStyle w:val="ListParagraph"/>
        <w:numPr>
          <w:ilvl w:val="1"/>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shd w:val="clear" w:color="auto" w:fill="FFFFFF"/>
        </w:rPr>
        <w:t>IEC/TR 80001-2-2:2012(E),</w:t>
      </w:r>
      <w:r w:rsidRPr="008B1DFD">
        <w:rPr>
          <w:rFonts w:asciiTheme="majorHAnsi" w:hAnsiTheme="majorHAnsi" w:cstheme="majorHAnsi"/>
          <w:color w:val="000000" w:themeColor="text1"/>
          <w:sz w:val="24"/>
          <w:szCs w:val="24"/>
          <w:shd w:val="clear" w:color="auto" w:fill="FFFFFF"/>
        </w:rPr>
        <w:t xml:space="preserve"> which is a technical report, creates a framework for the disclosure of security-related capabilities and risks necessary for managing the risk in connecting medical devices to IT-networks and for the security dialog that surrounds the IEC 80001-1 risk management of IT-network connection. </w:t>
      </w:r>
    </w:p>
    <w:p w14:paraId="0F2A838A" w14:textId="77777777" w:rsidR="00FD6BE9" w:rsidRPr="008B1DFD" w:rsidRDefault="00FD6BE9" w:rsidP="00FD6BE9">
      <w:pPr>
        <w:pStyle w:val="ListParagraph"/>
        <w:numPr>
          <w:ilvl w:val="1"/>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shd w:val="clear" w:color="auto" w:fill="FFFFFF"/>
        </w:rPr>
        <w:t>IEC 80001-1</w:t>
      </w:r>
      <w:r w:rsidRPr="008B1DFD">
        <w:rPr>
          <w:rFonts w:asciiTheme="majorHAnsi" w:hAnsiTheme="majorHAnsi" w:cstheme="majorHAnsi"/>
          <w:color w:val="000000" w:themeColor="text1"/>
          <w:sz w:val="24"/>
          <w:szCs w:val="24"/>
          <w:shd w:val="clear" w:color="auto" w:fill="FFFFFF"/>
        </w:rPr>
        <w:t xml:space="preserve"> defines the roles, responsibilities and activities that are necessary for risk management of IT-networks incorporating medical devices to address safety, effectiveness and data and system security.</w:t>
      </w:r>
    </w:p>
    <w:p w14:paraId="6D050220" w14:textId="77777777" w:rsidR="00FD6BE9" w:rsidRPr="008B1DFD" w:rsidRDefault="00FD6BE9" w:rsidP="00FD6BE9">
      <w:pPr>
        <w:pStyle w:val="ListParagraph"/>
        <w:numPr>
          <w:ilvl w:val="1"/>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shd w:val="clear" w:color="auto" w:fill="FFFFFF"/>
        </w:rPr>
        <w:t>ISO/TR 80001-2-6:2014</w:t>
      </w:r>
      <w:r w:rsidRPr="008B1DFD">
        <w:rPr>
          <w:rFonts w:asciiTheme="majorHAnsi" w:hAnsiTheme="majorHAnsi" w:cstheme="majorHAnsi"/>
          <w:color w:val="000000" w:themeColor="text1"/>
          <w:sz w:val="24"/>
          <w:szCs w:val="24"/>
          <w:shd w:val="clear" w:color="auto" w:fill="FFFFFF"/>
        </w:rPr>
        <w:t xml:space="preserve"> provides guidance on implementing responsibility agreements.</w:t>
      </w:r>
    </w:p>
    <w:p w14:paraId="22D93620" w14:textId="77777777" w:rsidR="00FD6BE9" w:rsidRPr="008B1DFD" w:rsidRDefault="00FD6BE9" w:rsidP="00FD6BE9">
      <w:pPr>
        <w:pStyle w:val="ListParagraph"/>
        <w:spacing w:after="0" w:line="240" w:lineRule="auto"/>
        <w:rPr>
          <w:rFonts w:asciiTheme="majorHAnsi" w:eastAsia="Times New Roman" w:hAnsiTheme="majorHAnsi" w:cstheme="majorHAnsi"/>
          <w:b/>
          <w:bCs/>
          <w:color w:val="000000" w:themeColor="text1"/>
          <w:sz w:val="24"/>
          <w:szCs w:val="24"/>
          <w:u w:val="single"/>
        </w:rPr>
      </w:pPr>
    </w:p>
    <w:p w14:paraId="2D0BBA52" w14:textId="6C27C6A4" w:rsidR="00E94810" w:rsidRPr="008B1DFD" w:rsidRDefault="00FD6BE9" w:rsidP="00E94810">
      <w:pPr>
        <w:pStyle w:val="ListParagraph"/>
        <w:rPr>
          <w:rFonts w:asciiTheme="majorHAnsi" w:eastAsia="Times New Roman" w:hAnsiTheme="majorHAnsi" w:cstheme="majorHAnsi"/>
          <w:color w:val="000000" w:themeColor="text1"/>
          <w:sz w:val="24"/>
          <w:szCs w:val="24"/>
        </w:rPr>
      </w:pPr>
      <w:r w:rsidRPr="008B1DFD">
        <w:rPr>
          <w:rFonts w:asciiTheme="majorHAnsi" w:hAnsiTheme="majorHAnsi" w:cstheme="majorHAnsi"/>
          <w:color w:val="000000" w:themeColor="text1"/>
          <w:sz w:val="24"/>
          <w:szCs w:val="24"/>
          <w:shd w:val="clear" w:color="auto" w:fill="FFFFFF"/>
        </w:rPr>
        <w:lastRenderedPageBreak/>
        <w:t>This technical report is a step-by-step guide to help in the application of </w:t>
      </w:r>
      <w:r w:rsidRPr="008B1DFD">
        <w:rPr>
          <w:rFonts w:asciiTheme="majorHAnsi" w:hAnsiTheme="majorHAnsi" w:cstheme="majorHAnsi"/>
          <w:smallCaps/>
          <w:color w:val="000000" w:themeColor="text1"/>
          <w:sz w:val="24"/>
          <w:szCs w:val="24"/>
          <w:shd w:val="clear" w:color="auto" w:fill="FFFFFF"/>
        </w:rPr>
        <w:t>risk management</w:t>
      </w:r>
      <w:r w:rsidRPr="008B1DFD">
        <w:rPr>
          <w:rFonts w:asciiTheme="majorHAnsi" w:hAnsiTheme="majorHAnsi" w:cstheme="majorHAnsi"/>
          <w:color w:val="000000" w:themeColor="text1"/>
          <w:sz w:val="24"/>
          <w:szCs w:val="24"/>
          <w:shd w:val="clear" w:color="auto" w:fill="FFFFFF"/>
        </w:rPr>
        <w:t> when creating or changing a </w:t>
      </w:r>
      <w:r w:rsidRPr="008B1DFD">
        <w:rPr>
          <w:rFonts w:asciiTheme="majorHAnsi" w:hAnsiTheme="majorHAnsi" w:cstheme="majorHAnsi"/>
          <w:smallCaps/>
          <w:color w:val="000000" w:themeColor="text1"/>
          <w:sz w:val="24"/>
          <w:szCs w:val="24"/>
          <w:shd w:val="clear" w:color="auto" w:fill="FFFFFF"/>
        </w:rPr>
        <w:t>medical</w:t>
      </w:r>
      <w:r w:rsidRPr="008B1DFD">
        <w:rPr>
          <w:rFonts w:asciiTheme="majorHAnsi" w:hAnsiTheme="majorHAnsi" w:cstheme="majorHAnsi"/>
          <w:color w:val="000000" w:themeColor="text1"/>
          <w:sz w:val="24"/>
          <w:szCs w:val="24"/>
          <w:shd w:val="clear" w:color="auto" w:fill="FFFFFF"/>
        </w:rPr>
        <w:t> IT-</w:t>
      </w:r>
      <w:r w:rsidRPr="008B1DFD">
        <w:rPr>
          <w:rFonts w:asciiTheme="majorHAnsi" w:hAnsiTheme="majorHAnsi" w:cstheme="majorHAnsi"/>
          <w:smallCaps/>
          <w:color w:val="000000" w:themeColor="text1"/>
          <w:sz w:val="24"/>
          <w:szCs w:val="24"/>
          <w:shd w:val="clear" w:color="auto" w:fill="FFFFFF"/>
        </w:rPr>
        <w:t>network</w:t>
      </w:r>
      <w:r w:rsidRPr="008B1DFD">
        <w:rPr>
          <w:rFonts w:asciiTheme="majorHAnsi" w:hAnsiTheme="majorHAnsi" w:cstheme="majorHAnsi"/>
          <w:color w:val="000000" w:themeColor="text1"/>
          <w:sz w:val="24"/>
          <w:szCs w:val="24"/>
          <w:shd w:val="clear" w:color="auto" w:fill="FFFFFF"/>
        </w:rPr>
        <w:t xml:space="preserve">. It provides easy to apply steps, examples, and information helping in the identification and control of risks. </w:t>
      </w:r>
    </w:p>
    <w:p w14:paraId="27ACD8F3" w14:textId="77777777" w:rsidR="00E94810" w:rsidRPr="008B1DFD" w:rsidRDefault="00E94810" w:rsidP="00E94810">
      <w:pPr>
        <w:pStyle w:val="ListParagraph"/>
        <w:spacing w:after="0" w:line="240" w:lineRule="auto"/>
        <w:rPr>
          <w:rFonts w:asciiTheme="majorHAnsi" w:eastAsia="Times New Roman" w:hAnsiTheme="majorHAnsi" w:cstheme="majorHAnsi"/>
          <w:color w:val="000000" w:themeColor="text1"/>
          <w:sz w:val="24"/>
          <w:szCs w:val="24"/>
        </w:rPr>
      </w:pPr>
    </w:p>
    <w:p w14:paraId="26C4F1B4" w14:textId="7E8D1D0D" w:rsidR="00E94810" w:rsidRPr="008B1DFD" w:rsidRDefault="00E94810" w:rsidP="00E94810">
      <w:pPr>
        <w:pStyle w:val="ListParagraph"/>
        <w:numPr>
          <w:ilvl w:val="0"/>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NIST Cybersecurity practice guide (NIST.SP.1800-8)</w:t>
      </w:r>
    </w:p>
    <w:p w14:paraId="4897072E" w14:textId="77777777" w:rsidR="0033241C" w:rsidRPr="008B1DFD" w:rsidRDefault="00FD6BE9" w:rsidP="0033241C">
      <w:pPr>
        <w:pStyle w:val="ListParagraph"/>
        <w:numPr>
          <w:ilvl w:val="0"/>
          <w:numId w:val="19"/>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 xml:space="preserve">NIST Special Publication (SP) 1800 series documents present practical, usable, cybersecurity solutions to the cybersecurity community. </w:t>
      </w:r>
    </w:p>
    <w:p w14:paraId="18B72716" w14:textId="77777777" w:rsidR="0033241C" w:rsidRPr="008B1DFD" w:rsidRDefault="00FD6BE9" w:rsidP="0033241C">
      <w:pPr>
        <w:pStyle w:val="ListParagraph"/>
        <w:numPr>
          <w:ilvl w:val="0"/>
          <w:numId w:val="19"/>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 xml:space="preserve">NIST Cybersecurity Practice Guides (Special Publication Series 1800) target specific cybersecurity challenges in the public and private sectors. </w:t>
      </w:r>
    </w:p>
    <w:p w14:paraId="06A084C5" w14:textId="64FB534A" w:rsidR="00FD6BE9" w:rsidRPr="008B1DFD" w:rsidRDefault="00FD6BE9" w:rsidP="0033241C">
      <w:pPr>
        <w:pStyle w:val="ListParagraph"/>
        <w:numPr>
          <w:ilvl w:val="0"/>
          <w:numId w:val="19"/>
        </w:numPr>
        <w:rPr>
          <w:rFonts w:asciiTheme="majorHAnsi" w:hAnsiTheme="majorHAnsi" w:cstheme="majorHAnsi"/>
          <w:color w:val="000000" w:themeColor="text1"/>
          <w:sz w:val="24"/>
          <w:szCs w:val="24"/>
        </w:rPr>
      </w:pPr>
      <w:r w:rsidRPr="008B1DFD">
        <w:rPr>
          <w:rFonts w:asciiTheme="majorHAnsi" w:hAnsiTheme="majorHAnsi" w:cstheme="majorHAnsi"/>
          <w:color w:val="000000" w:themeColor="text1"/>
          <w:sz w:val="24"/>
          <w:szCs w:val="24"/>
        </w:rPr>
        <w:t>They are practical, user-friendly guides that facilitate the adoption of standards-based approaches to cybersecurity</w:t>
      </w:r>
      <w:r w:rsidR="0033241C" w:rsidRPr="008B1DFD">
        <w:rPr>
          <w:rFonts w:asciiTheme="majorHAnsi" w:hAnsiTheme="majorHAnsi" w:cstheme="majorHAnsi"/>
          <w:color w:val="000000" w:themeColor="text1"/>
          <w:sz w:val="24"/>
          <w:szCs w:val="24"/>
        </w:rPr>
        <w:t>.</w:t>
      </w:r>
    </w:p>
    <w:p w14:paraId="08838DB8" w14:textId="77777777" w:rsidR="0033241C" w:rsidRPr="008B1DFD" w:rsidRDefault="0033241C" w:rsidP="0033241C">
      <w:pPr>
        <w:pStyle w:val="ListParagraph"/>
        <w:numPr>
          <w:ilvl w:val="0"/>
          <w:numId w:val="19"/>
        </w:numPr>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rPr>
        <w:t xml:space="preserve">Medical devices, such as infusion pumps, were once standalone instruments that interacted only with the patient or medical provider. </w:t>
      </w:r>
    </w:p>
    <w:p w14:paraId="4C219EE6" w14:textId="45632B5E" w:rsidR="0033241C" w:rsidRPr="008B1DFD" w:rsidRDefault="0033241C" w:rsidP="0033241C">
      <w:pPr>
        <w:pStyle w:val="ListParagraph"/>
        <w:numPr>
          <w:ilvl w:val="0"/>
          <w:numId w:val="19"/>
        </w:numPr>
        <w:rPr>
          <w:rFonts w:asciiTheme="majorHAnsi" w:hAnsiTheme="majorHAnsi" w:cstheme="majorHAnsi"/>
          <w:b/>
          <w:bCs/>
          <w:color w:val="000000" w:themeColor="text1"/>
          <w:sz w:val="24"/>
          <w:szCs w:val="24"/>
          <w:u w:val="single"/>
        </w:rPr>
      </w:pPr>
      <w:r w:rsidRPr="008B1DFD">
        <w:rPr>
          <w:rFonts w:asciiTheme="majorHAnsi" w:hAnsiTheme="majorHAnsi" w:cstheme="majorHAnsi"/>
          <w:color w:val="000000" w:themeColor="text1"/>
          <w:sz w:val="24"/>
          <w:szCs w:val="24"/>
        </w:rPr>
        <w:t>However, today’s medical devices connect to a variety of health care systems, networks, and other tools within a healthcare delivery organization (HDO).</w:t>
      </w:r>
    </w:p>
    <w:p w14:paraId="7E7BA7B5" w14:textId="77777777" w:rsidR="00E94810" w:rsidRPr="008B1DFD" w:rsidRDefault="00E94810" w:rsidP="00E94810">
      <w:pPr>
        <w:pStyle w:val="ListParagraph"/>
        <w:rPr>
          <w:rFonts w:asciiTheme="majorHAnsi" w:hAnsiTheme="majorHAnsi" w:cstheme="majorHAnsi"/>
          <w:color w:val="000000" w:themeColor="text1"/>
          <w:sz w:val="24"/>
          <w:szCs w:val="24"/>
        </w:rPr>
      </w:pPr>
    </w:p>
    <w:p w14:paraId="67AEADB5" w14:textId="77777777" w:rsidR="00E94810" w:rsidRPr="008B1DFD" w:rsidRDefault="00E94810" w:rsidP="00E94810">
      <w:pPr>
        <w:pStyle w:val="ListParagraph"/>
        <w:numPr>
          <w:ilvl w:val="0"/>
          <w:numId w:val="1"/>
        </w:numPr>
        <w:rPr>
          <w:rFonts w:asciiTheme="majorHAnsi" w:hAnsiTheme="majorHAnsi" w:cstheme="majorHAnsi"/>
          <w:b/>
          <w:bCs/>
          <w:color w:val="000000" w:themeColor="text1"/>
          <w:sz w:val="24"/>
          <w:szCs w:val="24"/>
          <w:u w:val="single"/>
        </w:rPr>
      </w:pPr>
      <w:r w:rsidRPr="008B1DFD">
        <w:rPr>
          <w:rFonts w:asciiTheme="majorHAnsi" w:hAnsiTheme="majorHAnsi" w:cstheme="majorHAnsi"/>
          <w:b/>
          <w:bCs/>
          <w:color w:val="000000" w:themeColor="text1"/>
          <w:sz w:val="24"/>
          <w:szCs w:val="24"/>
          <w:u w:val="single"/>
        </w:rPr>
        <w:t>FDA pre-market &amp; post-market cybersecurity guidelines (ucm356190 / ucm482022)</w:t>
      </w:r>
    </w:p>
    <w:p w14:paraId="375DDBC5" w14:textId="157BF54B" w:rsidR="00E94810" w:rsidRPr="008B1DFD" w:rsidRDefault="00855958" w:rsidP="00855958">
      <w:pPr>
        <w:pStyle w:val="ListParagraph"/>
        <w:numPr>
          <w:ilvl w:val="0"/>
          <w:numId w:val="20"/>
        </w:numPr>
        <w:spacing w:after="0" w:line="240" w:lineRule="auto"/>
        <w:rPr>
          <w:rFonts w:asciiTheme="majorHAnsi" w:hAnsiTheme="majorHAnsi" w:cstheme="majorHAnsi"/>
          <w:color w:val="000000" w:themeColor="text1"/>
          <w:sz w:val="24"/>
          <w:szCs w:val="24"/>
          <w:shd w:val="clear" w:color="auto" w:fill="FFFFFF"/>
        </w:rPr>
      </w:pPr>
      <w:r w:rsidRPr="008B1DFD">
        <w:rPr>
          <w:rFonts w:asciiTheme="majorHAnsi" w:hAnsiTheme="majorHAnsi" w:cstheme="majorHAnsi"/>
          <w:color w:val="000000" w:themeColor="text1"/>
          <w:sz w:val="24"/>
          <w:szCs w:val="24"/>
          <w:shd w:val="clear" w:color="auto" w:fill="FFFFFF"/>
        </w:rPr>
        <w:t>This guidance has been developed by the FDA to assist industry by identifying issues related to cybersecurity that manufacturers should consider in the design and development of their medical devices as well as in preparing premarket submissions for those devices.</w:t>
      </w:r>
    </w:p>
    <w:p w14:paraId="4F7DF385" w14:textId="0D0C89BA" w:rsidR="00855958" w:rsidRPr="008B1DFD" w:rsidRDefault="00855958" w:rsidP="00855958">
      <w:pPr>
        <w:pStyle w:val="ListParagraph"/>
        <w:numPr>
          <w:ilvl w:val="0"/>
          <w:numId w:val="20"/>
        </w:numPr>
        <w:spacing w:after="0" w:line="240" w:lineRule="auto"/>
        <w:rPr>
          <w:rFonts w:asciiTheme="majorHAnsi" w:eastAsia="Times New Roman" w:hAnsiTheme="majorHAnsi" w:cstheme="majorHAnsi"/>
          <w:color w:val="000000" w:themeColor="text1"/>
          <w:sz w:val="24"/>
          <w:szCs w:val="24"/>
        </w:rPr>
      </w:pPr>
      <w:r w:rsidRPr="008B1DFD">
        <w:rPr>
          <w:rFonts w:asciiTheme="majorHAnsi" w:hAnsiTheme="majorHAnsi" w:cstheme="majorHAnsi"/>
          <w:color w:val="202122"/>
          <w:sz w:val="24"/>
          <w:szCs w:val="24"/>
          <w:shd w:val="clear" w:color="auto" w:fill="FFFFFF"/>
        </w:rPr>
        <w:t>The FDA's primary focus is enforcement of the </w:t>
      </w:r>
      <w:r w:rsidRPr="008B1DFD">
        <w:rPr>
          <w:rFonts w:asciiTheme="majorHAnsi" w:hAnsiTheme="majorHAnsi" w:cstheme="majorHAnsi"/>
          <w:sz w:val="24"/>
          <w:szCs w:val="24"/>
          <w:shd w:val="clear" w:color="auto" w:fill="FFFFFF"/>
        </w:rPr>
        <w:t>Federal Food, Drug, and Cosmetic Act</w:t>
      </w:r>
      <w:r w:rsidRPr="008B1DFD">
        <w:rPr>
          <w:rFonts w:asciiTheme="majorHAnsi" w:hAnsiTheme="majorHAnsi" w:cstheme="majorHAnsi"/>
          <w:color w:val="202122"/>
          <w:sz w:val="24"/>
          <w:szCs w:val="24"/>
          <w:shd w:val="clear" w:color="auto" w:fill="FFFFFF"/>
        </w:rPr>
        <w:t> (FD&amp;C), but the agency also enforces other laws, notably Section 361 of the </w:t>
      </w:r>
      <w:r w:rsidRPr="008B1DFD">
        <w:rPr>
          <w:rFonts w:asciiTheme="majorHAnsi" w:hAnsiTheme="majorHAnsi" w:cstheme="majorHAnsi"/>
          <w:sz w:val="24"/>
          <w:szCs w:val="24"/>
          <w:shd w:val="clear" w:color="auto" w:fill="FFFFFF"/>
        </w:rPr>
        <w:t>Public Health Service Act</w:t>
      </w:r>
      <w:r w:rsidRPr="008B1DFD">
        <w:rPr>
          <w:rFonts w:asciiTheme="majorHAnsi" w:hAnsiTheme="majorHAnsi" w:cstheme="majorHAnsi"/>
          <w:color w:val="202122"/>
          <w:sz w:val="24"/>
          <w:szCs w:val="24"/>
          <w:shd w:val="clear" w:color="auto" w:fill="FFFFFF"/>
        </w:rPr>
        <w:t>, as well as associated regulations. </w:t>
      </w:r>
    </w:p>
    <w:p w14:paraId="3F20B842" w14:textId="79ADA654" w:rsidR="00D27256" w:rsidRPr="008B1DFD" w:rsidRDefault="00D27256" w:rsidP="00855958">
      <w:pPr>
        <w:pStyle w:val="ListParagraph"/>
        <w:numPr>
          <w:ilvl w:val="0"/>
          <w:numId w:val="20"/>
        </w:numPr>
        <w:spacing w:after="0" w:line="240" w:lineRule="auto"/>
        <w:rPr>
          <w:rFonts w:asciiTheme="majorHAnsi" w:eastAsia="Times New Roman" w:hAnsiTheme="majorHAnsi" w:cstheme="majorHAnsi"/>
          <w:color w:val="000000" w:themeColor="text1"/>
          <w:sz w:val="24"/>
          <w:szCs w:val="24"/>
        </w:rPr>
      </w:pPr>
      <w:r w:rsidRPr="008B1DFD">
        <w:rPr>
          <w:rFonts w:asciiTheme="majorHAnsi" w:hAnsiTheme="majorHAnsi" w:cstheme="majorHAnsi"/>
          <w:color w:val="202122"/>
          <w:sz w:val="24"/>
          <w:szCs w:val="24"/>
          <w:shd w:val="clear" w:color="auto" w:fill="FFFFFF"/>
        </w:rPr>
        <w:t>The </w:t>
      </w:r>
      <w:r w:rsidRPr="008B1DFD">
        <w:rPr>
          <w:rFonts w:asciiTheme="majorHAnsi" w:hAnsiTheme="majorHAnsi" w:cstheme="majorHAnsi"/>
          <w:sz w:val="24"/>
          <w:szCs w:val="24"/>
        </w:rPr>
        <w:t>United States</w:t>
      </w:r>
      <w:r w:rsidRPr="008B1DFD">
        <w:rPr>
          <w:rFonts w:asciiTheme="majorHAnsi" w:hAnsiTheme="majorHAnsi" w:cstheme="majorHAnsi"/>
          <w:color w:val="202122"/>
          <w:sz w:val="24"/>
          <w:szCs w:val="24"/>
          <w:shd w:val="clear" w:color="auto" w:fill="FFFFFF"/>
        </w:rPr>
        <w:t> </w:t>
      </w:r>
      <w:r w:rsidRPr="008B1DFD">
        <w:rPr>
          <w:rFonts w:asciiTheme="majorHAnsi" w:hAnsiTheme="majorHAnsi" w:cstheme="majorHAnsi"/>
          <w:b/>
          <w:bCs/>
          <w:color w:val="202122"/>
          <w:sz w:val="24"/>
          <w:szCs w:val="24"/>
          <w:shd w:val="clear" w:color="auto" w:fill="FFFFFF"/>
        </w:rPr>
        <w:t>Food and Drug Administration</w:t>
      </w:r>
      <w:r w:rsidRPr="008B1DFD">
        <w:rPr>
          <w:rFonts w:asciiTheme="majorHAnsi" w:hAnsiTheme="majorHAnsi" w:cstheme="majorHAnsi"/>
          <w:color w:val="202122"/>
          <w:sz w:val="24"/>
          <w:szCs w:val="24"/>
          <w:shd w:val="clear" w:color="auto" w:fill="FFFFFF"/>
        </w:rPr>
        <w:t> (</w:t>
      </w:r>
      <w:r w:rsidRPr="008B1DFD">
        <w:rPr>
          <w:rFonts w:asciiTheme="majorHAnsi" w:hAnsiTheme="majorHAnsi" w:cstheme="majorHAnsi"/>
          <w:b/>
          <w:bCs/>
          <w:color w:val="202122"/>
          <w:sz w:val="24"/>
          <w:szCs w:val="24"/>
          <w:shd w:val="clear" w:color="auto" w:fill="FFFFFF"/>
        </w:rPr>
        <w:t>FDA</w:t>
      </w:r>
      <w:r w:rsidRPr="008B1DFD">
        <w:rPr>
          <w:rFonts w:asciiTheme="majorHAnsi" w:hAnsiTheme="majorHAnsi" w:cstheme="majorHAnsi"/>
          <w:color w:val="202122"/>
          <w:sz w:val="24"/>
          <w:szCs w:val="24"/>
          <w:shd w:val="clear" w:color="auto" w:fill="FFFFFF"/>
        </w:rPr>
        <w:t> or </w:t>
      </w:r>
      <w:r w:rsidRPr="008B1DFD">
        <w:rPr>
          <w:rFonts w:asciiTheme="majorHAnsi" w:hAnsiTheme="majorHAnsi" w:cstheme="majorHAnsi"/>
          <w:b/>
          <w:bCs/>
          <w:color w:val="202122"/>
          <w:sz w:val="24"/>
          <w:szCs w:val="24"/>
          <w:shd w:val="clear" w:color="auto" w:fill="FFFFFF"/>
        </w:rPr>
        <w:t>USFDA</w:t>
      </w:r>
      <w:r w:rsidRPr="008B1DFD">
        <w:rPr>
          <w:rFonts w:asciiTheme="majorHAnsi" w:hAnsiTheme="majorHAnsi" w:cstheme="majorHAnsi"/>
          <w:color w:val="202122"/>
          <w:sz w:val="24"/>
          <w:szCs w:val="24"/>
          <w:shd w:val="clear" w:color="auto" w:fill="FFFFFF"/>
        </w:rPr>
        <w:t>) is a </w:t>
      </w:r>
      <w:r w:rsidRPr="008B1DFD">
        <w:rPr>
          <w:rFonts w:asciiTheme="majorHAnsi" w:hAnsiTheme="majorHAnsi" w:cstheme="majorHAnsi"/>
          <w:sz w:val="24"/>
          <w:szCs w:val="24"/>
          <w:shd w:val="clear" w:color="auto" w:fill="FFFFFF"/>
        </w:rPr>
        <w:t>federal agency</w:t>
      </w:r>
      <w:r w:rsidRPr="008B1DFD">
        <w:rPr>
          <w:rFonts w:asciiTheme="majorHAnsi" w:hAnsiTheme="majorHAnsi" w:cstheme="majorHAnsi"/>
          <w:color w:val="202122"/>
          <w:sz w:val="24"/>
          <w:szCs w:val="24"/>
          <w:shd w:val="clear" w:color="auto" w:fill="FFFFFF"/>
        </w:rPr>
        <w:t> of the </w:t>
      </w:r>
      <w:r w:rsidRPr="008B1DFD">
        <w:rPr>
          <w:rFonts w:asciiTheme="majorHAnsi" w:hAnsiTheme="majorHAnsi" w:cstheme="majorHAnsi"/>
          <w:sz w:val="24"/>
          <w:szCs w:val="24"/>
          <w:shd w:val="clear" w:color="auto" w:fill="FFFFFF"/>
        </w:rPr>
        <w:t>Department of Health and Human Services</w:t>
      </w:r>
      <w:r w:rsidRPr="008B1DFD">
        <w:rPr>
          <w:rFonts w:asciiTheme="majorHAnsi" w:hAnsiTheme="majorHAnsi" w:cstheme="majorHAnsi"/>
          <w:color w:val="202122"/>
          <w:sz w:val="24"/>
          <w:szCs w:val="24"/>
          <w:shd w:val="clear" w:color="auto" w:fill="FFFFFF"/>
        </w:rPr>
        <w:t xml:space="preserve">. </w:t>
      </w:r>
    </w:p>
    <w:p w14:paraId="246BBC47" w14:textId="6FAAAE57" w:rsidR="00583CBA" w:rsidRPr="00583CBA" w:rsidRDefault="00D27256" w:rsidP="00D27256">
      <w:pPr>
        <w:pStyle w:val="ListParagraph"/>
        <w:numPr>
          <w:ilvl w:val="0"/>
          <w:numId w:val="21"/>
        </w:numPr>
        <w:spacing w:after="0" w:line="240" w:lineRule="auto"/>
        <w:rPr>
          <w:rFonts w:asciiTheme="majorHAnsi" w:eastAsia="Times New Roman" w:hAnsiTheme="majorHAnsi" w:cstheme="majorHAnsi"/>
          <w:color w:val="000000" w:themeColor="text1"/>
          <w:sz w:val="24"/>
          <w:szCs w:val="24"/>
        </w:rPr>
      </w:pPr>
      <w:r w:rsidRPr="008B1DFD">
        <w:rPr>
          <w:rFonts w:asciiTheme="majorHAnsi" w:hAnsiTheme="majorHAnsi" w:cstheme="majorHAnsi"/>
          <w:color w:val="202122"/>
          <w:sz w:val="24"/>
          <w:szCs w:val="24"/>
          <w:shd w:val="clear" w:color="auto" w:fill="FFFFFF"/>
        </w:rPr>
        <w:t>The FDA is responsible for protecting and promoting </w:t>
      </w:r>
      <w:r w:rsidRPr="008B1DFD">
        <w:rPr>
          <w:rFonts w:asciiTheme="majorHAnsi" w:hAnsiTheme="majorHAnsi" w:cstheme="majorHAnsi"/>
          <w:sz w:val="24"/>
          <w:szCs w:val="24"/>
        </w:rPr>
        <w:t>public health</w:t>
      </w:r>
      <w:r w:rsidRPr="008B1DFD">
        <w:rPr>
          <w:rFonts w:asciiTheme="majorHAnsi" w:hAnsiTheme="majorHAnsi" w:cstheme="majorHAnsi"/>
          <w:color w:val="202122"/>
          <w:sz w:val="24"/>
          <w:szCs w:val="24"/>
          <w:shd w:val="clear" w:color="auto" w:fill="FFFFFF"/>
        </w:rPr>
        <w:t> through the control and supervision of </w:t>
      </w:r>
      <w:r w:rsidRPr="008B1DFD">
        <w:rPr>
          <w:rFonts w:asciiTheme="majorHAnsi" w:hAnsiTheme="majorHAnsi" w:cstheme="majorHAnsi"/>
          <w:sz w:val="24"/>
          <w:szCs w:val="24"/>
          <w:shd w:val="clear" w:color="auto" w:fill="FFFFFF"/>
        </w:rPr>
        <w:t>food safety</w:t>
      </w:r>
      <w:r w:rsidRPr="008B1DFD">
        <w:rPr>
          <w:rFonts w:asciiTheme="majorHAnsi" w:hAnsiTheme="majorHAnsi" w:cstheme="majorHAnsi"/>
          <w:color w:val="202122"/>
          <w:sz w:val="24"/>
          <w:szCs w:val="24"/>
          <w:shd w:val="clear" w:color="auto" w:fill="FFFFFF"/>
        </w:rPr>
        <w:t>, </w:t>
      </w:r>
      <w:r w:rsidRPr="008B1DFD">
        <w:rPr>
          <w:rFonts w:asciiTheme="majorHAnsi" w:hAnsiTheme="majorHAnsi" w:cstheme="majorHAnsi"/>
          <w:sz w:val="24"/>
          <w:szCs w:val="24"/>
          <w:shd w:val="clear" w:color="auto" w:fill="FFFFFF"/>
        </w:rPr>
        <w:t>dietary supplements</w:t>
      </w:r>
      <w:r w:rsidRPr="008B1DFD">
        <w:rPr>
          <w:rFonts w:asciiTheme="majorHAnsi" w:hAnsiTheme="majorHAnsi" w:cstheme="majorHAnsi"/>
          <w:color w:val="202122"/>
          <w:sz w:val="24"/>
          <w:szCs w:val="24"/>
          <w:shd w:val="clear" w:color="auto" w:fill="FFFFFF"/>
        </w:rPr>
        <w:t>, </w:t>
      </w:r>
      <w:r w:rsidRPr="008B1DFD">
        <w:rPr>
          <w:rFonts w:asciiTheme="majorHAnsi" w:hAnsiTheme="majorHAnsi" w:cstheme="majorHAnsi"/>
          <w:sz w:val="24"/>
          <w:szCs w:val="24"/>
          <w:shd w:val="clear" w:color="auto" w:fill="FFFFFF"/>
        </w:rPr>
        <w:t>prescription</w:t>
      </w:r>
      <w:r w:rsidRPr="008B1DFD">
        <w:rPr>
          <w:rFonts w:asciiTheme="majorHAnsi" w:hAnsiTheme="majorHAnsi" w:cstheme="majorHAnsi"/>
          <w:color w:val="202122"/>
          <w:sz w:val="24"/>
          <w:szCs w:val="24"/>
          <w:shd w:val="clear" w:color="auto" w:fill="FFFFFF"/>
        </w:rPr>
        <w:t> and many mor</w:t>
      </w:r>
      <w:r w:rsidR="00583CBA">
        <w:rPr>
          <w:rFonts w:asciiTheme="majorHAnsi" w:hAnsiTheme="majorHAnsi" w:cstheme="majorHAnsi"/>
          <w:color w:val="202122"/>
          <w:sz w:val="24"/>
          <w:szCs w:val="24"/>
          <w:shd w:val="clear" w:color="auto" w:fill="FFFFFF"/>
        </w:rPr>
        <w:t>e.</w:t>
      </w:r>
    </w:p>
    <w:p w14:paraId="3F1F8FDA" w14:textId="7E93F4E9" w:rsidR="00583CBA" w:rsidRPr="00583CBA" w:rsidRDefault="00583CBA" w:rsidP="00583CBA">
      <w:pPr>
        <w:pStyle w:val="ListParagraph"/>
        <w:numPr>
          <w:ilvl w:val="0"/>
          <w:numId w:val="21"/>
        </w:numPr>
        <w:spacing w:after="0" w:line="240" w:lineRule="auto"/>
        <w:rPr>
          <w:rFonts w:asciiTheme="majorHAnsi" w:eastAsia="Times New Roman" w:hAnsiTheme="majorHAnsi" w:cstheme="majorHAnsi"/>
          <w:color w:val="000000" w:themeColor="text1"/>
          <w:sz w:val="24"/>
          <w:szCs w:val="24"/>
        </w:rPr>
      </w:pPr>
      <w:r w:rsidRPr="00583CBA">
        <w:rPr>
          <w:rFonts w:asciiTheme="majorHAnsi" w:hAnsiTheme="majorHAnsi" w:cstheme="majorHAnsi"/>
          <w:b/>
          <w:bCs/>
          <w:color w:val="202122"/>
          <w:sz w:val="24"/>
          <w:szCs w:val="24"/>
          <w:shd w:val="clear" w:color="auto" w:fill="FFFFFF"/>
        </w:rPr>
        <w:t>Post Market Considerations</w:t>
      </w:r>
      <w:r>
        <w:rPr>
          <w:rFonts w:asciiTheme="majorHAnsi" w:hAnsiTheme="majorHAnsi" w:cstheme="majorHAnsi"/>
          <w:color w:val="202122"/>
          <w:sz w:val="24"/>
          <w:szCs w:val="24"/>
          <w:shd w:val="clear" w:color="auto" w:fill="FFFFFF"/>
        </w:rPr>
        <w:t xml:space="preserve"> : </w:t>
      </w:r>
      <w:r>
        <w:t>It is essential that manufacturers implement comprehensive cybersecurity risk management programs and documentation consistent with the Quality System Regulation (21 CFR part 820), including but not limited to complaint handling (21 CFR 820.198), quality audit (21 CFR 820.22), corrective and preventive action (21 CFR 820.100), software validation and risk analysis (21 CFR 820.30(g)) and servicing (21 CFR 820.200).</w:t>
      </w:r>
    </w:p>
    <w:p w14:paraId="615C96C9" w14:textId="450ACCF8"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A662BEC" w14:textId="4CAFD0CE"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0FEA4109" w14:textId="28CDB3B6"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767424DB" w14:textId="60B6DA4C"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61E16F72" w14:textId="207D6074"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04E9F52C" w14:textId="1E6F40D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2D179096" w14:textId="7C129677"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70235A79" w14:textId="1752CEEB"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5ED8C3B1" w14:textId="3CD85197"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51BEE419" w14:textId="23416F8C"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206106E2" w14:textId="4551C858"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6D7FB34E" w14:textId="570EA14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674E415D" w14:textId="402E7071"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509C68DB" w14:textId="1B6F702E"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1D2F474A" w14:textId="39CEACA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8C2B3E0" w14:textId="707B621A"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86F7575" w14:textId="76F9E6A3"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6C11F2F3" w14:textId="07A2384F"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7556F50E" w14:textId="2404096E"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9EA97CD" w14:textId="47CE8151"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5843E534" w14:textId="3FBCE17E"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C23844D" w14:textId="09975C8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0EC5B017" w14:textId="51011E4C"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32F42F70" w14:textId="5CCCAFC1"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337F77AD" w14:textId="3C1EE54A"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084F1FA1" w14:textId="5E7D0B80"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7E2F0730" w14:textId="6D33A68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7188B766" w14:textId="24F0B7F9"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1CE7EEF" w14:textId="29E8687F"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53FDA986" w14:textId="455D6E45"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2C5C18D2" w14:textId="6430FC44"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464A9D96" w14:textId="378C5803"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1E1940BC" w14:textId="49D53760" w:rsidR="004F25EC" w:rsidRDefault="004F25EC" w:rsidP="004F25EC">
      <w:pPr>
        <w:spacing w:after="0" w:line="240" w:lineRule="auto"/>
        <w:rPr>
          <w:rFonts w:asciiTheme="majorHAnsi" w:eastAsia="Times New Roman" w:hAnsiTheme="majorHAnsi" w:cstheme="majorHAnsi"/>
          <w:color w:val="000000" w:themeColor="text1"/>
          <w:sz w:val="24"/>
          <w:szCs w:val="24"/>
        </w:rPr>
      </w:pPr>
    </w:p>
    <w:p w14:paraId="14738F26" w14:textId="77777777" w:rsidR="004F25EC" w:rsidRDefault="004F25EC" w:rsidP="004F25EC">
      <w:pPr>
        <w:pStyle w:val="NormalWeb"/>
        <w:shd w:val="clear" w:color="auto" w:fill="FFFFFF"/>
        <w:spacing w:before="0" w:after="0"/>
        <w:rPr>
          <w:rFonts w:ascii="Georgia" w:hAnsi="Georgia"/>
          <w:color w:val="333333"/>
        </w:rPr>
      </w:pPr>
      <w:r>
        <w:rPr>
          <w:rFonts w:ascii="Georgia" w:hAnsi="Georgia"/>
          <w:color w:val="333333"/>
        </w:rPr>
        <w:t>Software as a Medical Device </w:t>
      </w:r>
      <w:proofErr w:type="spellStart"/>
      <w:r>
        <w:rPr>
          <w:rFonts w:ascii="Georgia" w:hAnsi="Georgia"/>
          <w:color w:val="333333"/>
        </w:rPr>
        <w:fldChar w:fldCharType="begin"/>
      </w:r>
      <w:r>
        <w:rPr>
          <w:rFonts w:ascii="Georgia" w:hAnsi="Georgia"/>
          <w:color w:val="333333"/>
        </w:rPr>
        <w:instrText xml:space="preserve"> HYPERLINK "http://www.imdrf.org/docs/imdrf/final/technical/imdrf-tech-140918-samd-framework-risk-categorization-141013.pdf" </w:instrText>
      </w:r>
      <w:r>
        <w:rPr>
          <w:rFonts w:ascii="Georgia" w:hAnsi="Georgia"/>
          <w:color w:val="333333"/>
        </w:rPr>
        <w:fldChar w:fldCharType="separate"/>
      </w:r>
      <w:r>
        <w:rPr>
          <w:rStyle w:val="Hyperlink"/>
          <w:rFonts w:ascii="Georgia" w:hAnsi="Georgia"/>
          <w:color w:val="007CBA"/>
        </w:rPr>
        <w:t>ranges</w:t>
      </w:r>
      <w:r>
        <w:rPr>
          <w:rFonts w:ascii="Georgia" w:hAnsi="Georgia"/>
          <w:color w:val="333333"/>
        </w:rPr>
        <w:fldChar w:fldCharType="end"/>
      </w:r>
      <w:hyperlink r:id="rId7" w:history="1">
        <w:r>
          <w:rPr>
            <w:rStyle w:val="sr-only"/>
            <w:rFonts w:ascii="Georgia" w:hAnsi="Georgia"/>
            <w:color w:val="007CBA"/>
            <w:bdr w:val="none" w:sz="0" w:space="0" w:color="auto" w:frame="1"/>
          </w:rPr>
          <w:t>External</w:t>
        </w:r>
        <w:proofErr w:type="spellEnd"/>
        <w:r>
          <w:rPr>
            <w:rStyle w:val="sr-only"/>
            <w:rFonts w:ascii="Georgia" w:hAnsi="Georgia"/>
            <w:color w:val="007CBA"/>
            <w:bdr w:val="none" w:sz="0" w:space="0" w:color="auto" w:frame="1"/>
          </w:rPr>
          <w:t xml:space="preserve"> Link Disclaimer</w:t>
        </w:r>
      </w:hyperlink>
      <w:r>
        <w:rPr>
          <w:rFonts w:ascii="Georgia" w:hAnsi="Georgia"/>
          <w:color w:val="333333"/>
        </w:rPr>
        <w:t> from software that allows a smartphone to view images obtained from a magnetic resonance imaging (MRI) medical device for diagnostic purposes to Computer-Aided Detection (CAD) software that performs image post-processing to help detect breast cancer.</w:t>
      </w:r>
    </w:p>
    <w:p w14:paraId="30476279" w14:textId="77777777" w:rsidR="004F25EC" w:rsidRDefault="004F25EC" w:rsidP="004F25EC">
      <w:pPr>
        <w:pStyle w:val="NormalWeb"/>
        <w:shd w:val="clear" w:color="auto" w:fill="FFFFFF"/>
        <w:rPr>
          <w:rFonts w:ascii="Georgia" w:hAnsi="Georgia"/>
          <w:color w:val="333333"/>
        </w:rPr>
      </w:pPr>
      <w:r>
        <w:rPr>
          <w:rFonts w:ascii="Georgia" w:hAnsi="Georgia"/>
          <w:color w:val="333333"/>
        </w:rPr>
        <w:t>Other examples include:</w:t>
      </w:r>
    </w:p>
    <w:p w14:paraId="3D99823E" w14:textId="77777777" w:rsidR="004F25EC" w:rsidRDefault="004F25EC" w:rsidP="004F25EC">
      <w:pPr>
        <w:numPr>
          <w:ilvl w:val="0"/>
          <w:numId w:val="26"/>
        </w:numPr>
        <w:shd w:val="clear" w:color="auto" w:fill="FFFFFF"/>
        <w:spacing w:before="100" w:beforeAutospacing="1" w:after="100" w:afterAutospacing="1" w:line="240" w:lineRule="auto"/>
        <w:rPr>
          <w:rFonts w:ascii="Georgia" w:hAnsi="Georgia"/>
          <w:color w:val="333333"/>
        </w:rPr>
      </w:pPr>
      <w:r>
        <w:rPr>
          <w:rFonts w:ascii="Georgia" w:hAnsi="Georgia"/>
          <w:color w:val="333333"/>
        </w:rPr>
        <w:t>Software as a Medical Device may be interfaced with other medical devices, including hardware medical devices, and other software as a medical device software, as well as general purpose software. Software that provides parameters that become the input for a different hardware medical device or other Software as a Medical Device. For example, treatment planning software that supplies information used in a linear accelerator is Software as a Medical Device.</w:t>
      </w:r>
    </w:p>
    <w:p w14:paraId="45264689" w14:textId="77777777" w:rsidR="004F25EC" w:rsidRDefault="004F25EC" w:rsidP="004F25EC">
      <w:pPr>
        <w:numPr>
          <w:ilvl w:val="0"/>
          <w:numId w:val="26"/>
        </w:numPr>
        <w:shd w:val="clear" w:color="auto" w:fill="FFFFFF"/>
        <w:spacing w:before="100" w:beforeAutospacing="1" w:after="0" w:line="240" w:lineRule="auto"/>
        <w:rPr>
          <w:rFonts w:ascii="Georgia" w:hAnsi="Georgia"/>
          <w:color w:val="333333"/>
        </w:rPr>
      </w:pPr>
      <w:r>
        <w:rPr>
          <w:rFonts w:ascii="Georgia" w:hAnsi="Georgia"/>
          <w:color w:val="333333"/>
        </w:rPr>
        <w:t xml:space="preserve">Software with a medical purpose that operates on a </w:t>
      </w:r>
      <w:proofErr w:type="gramStart"/>
      <w:r>
        <w:rPr>
          <w:rFonts w:ascii="Georgia" w:hAnsi="Georgia"/>
          <w:color w:val="333333"/>
        </w:rPr>
        <w:t>general purpose</w:t>
      </w:r>
      <w:proofErr w:type="gramEnd"/>
      <w:r>
        <w:rPr>
          <w:rFonts w:ascii="Georgia" w:hAnsi="Georgia"/>
          <w:color w:val="333333"/>
        </w:rPr>
        <w:t xml:space="preserve"> computing platform, i.e., a computing platform that does not have a medical purpose, is considered Software as a Medical Device. For example, software that is intended for diagnosis of a condition using the tri-axial accelerometer that operates on the embedded processor on a consumer digital camera is considered Software as a Medical Device.</w:t>
      </w:r>
    </w:p>
    <w:p w14:paraId="686CD095" w14:textId="77777777" w:rsidR="004F25EC" w:rsidRDefault="004F25EC" w:rsidP="004F25EC">
      <w:pPr>
        <w:numPr>
          <w:ilvl w:val="0"/>
          <w:numId w:val="26"/>
        </w:numPr>
        <w:shd w:val="clear" w:color="auto" w:fill="FFFFFF"/>
        <w:spacing w:before="100" w:beforeAutospacing="1" w:after="0" w:line="240" w:lineRule="auto"/>
        <w:rPr>
          <w:rFonts w:ascii="Georgia" w:hAnsi="Georgia"/>
          <w:color w:val="333333"/>
        </w:rPr>
      </w:pPr>
      <w:r>
        <w:rPr>
          <w:rFonts w:ascii="Georgia" w:hAnsi="Georgia"/>
          <w:color w:val="333333"/>
        </w:rPr>
        <w:lastRenderedPageBreak/>
        <w:t>Software that is connected to a hardware medical device but is not needed by that hardware medical device to achieve its intended medical purpose is Software as a Medical Device and not an accessory to the hardware medical device.</w:t>
      </w:r>
    </w:p>
    <w:p w14:paraId="318AC3AA" w14:textId="77777777" w:rsidR="004F25EC" w:rsidRDefault="004F25EC" w:rsidP="004F25EC">
      <w:pPr>
        <w:numPr>
          <w:ilvl w:val="0"/>
          <w:numId w:val="26"/>
        </w:numPr>
        <w:shd w:val="clear" w:color="auto" w:fill="FFFFFF"/>
        <w:spacing w:before="100" w:beforeAutospacing="1" w:after="0" w:line="240" w:lineRule="auto"/>
        <w:rPr>
          <w:rFonts w:ascii="Georgia" w:hAnsi="Georgia"/>
          <w:color w:val="333333"/>
        </w:rPr>
      </w:pPr>
      <w:r>
        <w:rPr>
          <w:rFonts w:ascii="Georgia" w:hAnsi="Georgia"/>
          <w:color w:val="333333"/>
        </w:rPr>
        <w:t xml:space="preserve">Software as a Medical Device </w:t>
      </w:r>
      <w:proofErr w:type="gramStart"/>
      <w:r>
        <w:rPr>
          <w:rFonts w:ascii="Georgia" w:hAnsi="Georgia"/>
          <w:color w:val="333333"/>
        </w:rPr>
        <w:t>is capable of running</w:t>
      </w:r>
      <w:proofErr w:type="gramEnd"/>
      <w:r>
        <w:rPr>
          <w:rFonts w:ascii="Georgia" w:hAnsi="Georgia"/>
          <w:color w:val="333333"/>
        </w:rPr>
        <w:t xml:space="preserve"> on general purpose (nonmedical purpose) computing platforms. Software as a medical device running on these </w:t>
      </w:r>
      <w:proofErr w:type="gramStart"/>
      <w:r>
        <w:rPr>
          <w:rFonts w:ascii="Georgia" w:hAnsi="Georgia"/>
          <w:color w:val="333333"/>
        </w:rPr>
        <w:t>general purpose</w:t>
      </w:r>
      <w:proofErr w:type="gramEnd"/>
      <w:r>
        <w:rPr>
          <w:rFonts w:ascii="Georgia" w:hAnsi="Georgia"/>
          <w:color w:val="333333"/>
        </w:rPr>
        <w:t xml:space="preserve"> computing platforms could be located in a hardware medical device.</w:t>
      </w:r>
    </w:p>
    <w:p w14:paraId="33811AF0" w14:textId="77777777" w:rsidR="004F25EC" w:rsidRDefault="004F25EC" w:rsidP="004F25EC">
      <w:pPr>
        <w:pStyle w:val="Heading3"/>
        <w:shd w:val="clear" w:color="auto" w:fill="FFFFFF"/>
        <w:rPr>
          <w:rFonts w:ascii="Helvetica" w:hAnsi="Helvetica"/>
          <w:color w:val="333333"/>
          <w:spacing w:val="8"/>
        </w:rPr>
      </w:pPr>
      <w:r>
        <w:rPr>
          <w:rFonts w:ascii="Helvetica" w:hAnsi="Helvetica"/>
          <w:color w:val="333333"/>
          <w:spacing w:val="8"/>
        </w:rPr>
        <w:t>What are examples of software that are not Software as a Medical Device?</w:t>
      </w:r>
    </w:p>
    <w:p w14:paraId="7AF33C48" w14:textId="77777777" w:rsidR="004F25EC" w:rsidRDefault="004F25EC" w:rsidP="004F25EC">
      <w:pPr>
        <w:pStyle w:val="NormalWeb"/>
        <w:shd w:val="clear" w:color="auto" w:fill="FFFFFF"/>
        <w:rPr>
          <w:rFonts w:ascii="Georgia" w:hAnsi="Georgia"/>
          <w:color w:val="333333"/>
        </w:rPr>
      </w:pPr>
      <w:r>
        <w:rPr>
          <w:rFonts w:ascii="Georgia" w:hAnsi="Georgia"/>
          <w:color w:val="333333"/>
        </w:rPr>
        <w:t>If the software is part of a hardware medical device, it does not meet the definition of Software as a Medical Device. Examples include:</w:t>
      </w:r>
    </w:p>
    <w:p w14:paraId="605C80DA" w14:textId="77777777" w:rsidR="004F25EC" w:rsidRDefault="004F25EC" w:rsidP="004F25EC">
      <w:pPr>
        <w:numPr>
          <w:ilvl w:val="0"/>
          <w:numId w:val="27"/>
        </w:numPr>
        <w:shd w:val="clear" w:color="auto" w:fill="FFFFFF"/>
        <w:spacing w:before="100" w:beforeAutospacing="1" w:after="100" w:afterAutospacing="1" w:line="240" w:lineRule="auto"/>
        <w:rPr>
          <w:rFonts w:ascii="Georgia" w:hAnsi="Georgia"/>
          <w:color w:val="333333"/>
        </w:rPr>
      </w:pPr>
      <w:r>
        <w:rPr>
          <w:rFonts w:ascii="Georgia" w:hAnsi="Georgia"/>
          <w:color w:val="333333"/>
        </w:rPr>
        <w:t xml:space="preserve">Software used to "drive or control" the motors and the pumping of medication in an infusion pump; or software used in closed loop control in an implantable pacemaker or other types of hardware medical devices. </w:t>
      </w:r>
      <w:proofErr w:type="gramStart"/>
      <w:r>
        <w:rPr>
          <w:rFonts w:ascii="Georgia" w:hAnsi="Georgia"/>
          <w:color w:val="333333"/>
        </w:rPr>
        <w:t>These types of software,</w:t>
      </w:r>
      <w:proofErr w:type="gramEnd"/>
      <w:r>
        <w:rPr>
          <w:rFonts w:ascii="Georgia" w:hAnsi="Georgia"/>
          <w:color w:val="333333"/>
        </w:rPr>
        <w:t xml:space="preserve"> sometimes referred to as "embedded software", "firmware", or "micro-code" are not Software as a Medical Device.</w:t>
      </w:r>
    </w:p>
    <w:p w14:paraId="57C81E36" w14:textId="77777777" w:rsidR="004F25EC" w:rsidRDefault="004F25EC" w:rsidP="004F25EC">
      <w:pPr>
        <w:numPr>
          <w:ilvl w:val="0"/>
          <w:numId w:val="27"/>
        </w:numPr>
        <w:shd w:val="clear" w:color="auto" w:fill="FFFFFF"/>
        <w:spacing w:before="100" w:beforeAutospacing="1" w:after="0" w:line="240" w:lineRule="auto"/>
        <w:rPr>
          <w:rFonts w:ascii="Georgia" w:hAnsi="Georgia"/>
          <w:color w:val="333333"/>
        </w:rPr>
      </w:pPr>
      <w:r>
        <w:rPr>
          <w:rFonts w:ascii="Georgia" w:hAnsi="Georgia"/>
          <w:color w:val="333333"/>
        </w:rPr>
        <w:t>Software required by a hardware medical device to perform the hardware's medical device intended use, even if sold separately from the hardware medical device.</w:t>
      </w:r>
    </w:p>
    <w:p w14:paraId="333BD07D" w14:textId="77777777" w:rsidR="004F25EC" w:rsidRDefault="004F25EC" w:rsidP="004F25EC">
      <w:pPr>
        <w:numPr>
          <w:ilvl w:val="0"/>
          <w:numId w:val="27"/>
        </w:numPr>
        <w:shd w:val="clear" w:color="auto" w:fill="FFFFFF"/>
        <w:spacing w:before="100" w:beforeAutospacing="1" w:after="0" w:line="240" w:lineRule="auto"/>
        <w:rPr>
          <w:rFonts w:ascii="Georgia" w:hAnsi="Georgia"/>
          <w:color w:val="333333"/>
        </w:rPr>
      </w:pPr>
      <w:r>
        <w:rPr>
          <w:rFonts w:ascii="Georgia" w:hAnsi="Georgia"/>
          <w:color w:val="333333"/>
        </w:rPr>
        <w:t>Software that relies on data from a medical device, but does not have a medical purpose, e.g., software that encrypts data for transmission from a medical device.</w:t>
      </w:r>
    </w:p>
    <w:p w14:paraId="18BA2135" w14:textId="77777777" w:rsidR="004F25EC" w:rsidRDefault="004F25EC" w:rsidP="004F25EC">
      <w:pPr>
        <w:numPr>
          <w:ilvl w:val="0"/>
          <w:numId w:val="27"/>
        </w:numPr>
        <w:shd w:val="clear" w:color="auto" w:fill="FFFFFF"/>
        <w:spacing w:before="100" w:beforeAutospacing="1" w:after="0" w:line="240" w:lineRule="auto"/>
        <w:rPr>
          <w:rFonts w:ascii="Georgia" w:hAnsi="Georgia"/>
          <w:color w:val="333333"/>
        </w:rPr>
      </w:pPr>
      <w:r>
        <w:rPr>
          <w:rFonts w:ascii="Georgia" w:hAnsi="Georgia"/>
          <w:color w:val="333333"/>
        </w:rPr>
        <w:t>Software that enables clinical communication and workflow including patient registration, scheduling visits, voice calling, and video calling.</w:t>
      </w:r>
    </w:p>
    <w:p w14:paraId="3798A0E8" w14:textId="77777777" w:rsidR="004F25EC" w:rsidRDefault="004F25EC" w:rsidP="004F25EC">
      <w:pPr>
        <w:numPr>
          <w:ilvl w:val="0"/>
          <w:numId w:val="27"/>
        </w:numPr>
        <w:shd w:val="clear" w:color="auto" w:fill="FFFFFF"/>
        <w:spacing w:before="100" w:beforeAutospacing="1" w:after="0" w:line="240" w:lineRule="auto"/>
        <w:rPr>
          <w:rFonts w:ascii="Georgia" w:hAnsi="Georgia"/>
          <w:color w:val="333333"/>
        </w:rPr>
      </w:pPr>
      <w:r>
        <w:rPr>
          <w:rFonts w:ascii="Georgia" w:hAnsi="Georgia"/>
          <w:color w:val="333333"/>
        </w:rPr>
        <w:t>Software that monitors performance or proper functioning of a device for the purpose of servicing the device, (e.g., software that monitors x-ray tube performance to anticipate the need for replacement), or software that integrates and analyzes laboratory quality control data to identify increased random errors or trends in calibration on IVDs.</w:t>
      </w:r>
    </w:p>
    <w:p w14:paraId="2F681AD7" w14:textId="30AA22EE" w:rsidR="004F25EC" w:rsidRPr="004F25EC" w:rsidRDefault="004F25EC" w:rsidP="004F25EC">
      <w:pPr>
        <w:numPr>
          <w:ilvl w:val="0"/>
          <w:numId w:val="27"/>
        </w:numPr>
        <w:shd w:val="clear" w:color="auto" w:fill="FFFFFF"/>
        <w:spacing w:before="100" w:beforeAutospacing="1" w:after="0" w:line="240" w:lineRule="auto"/>
        <w:rPr>
          <w:rFonts w:ascii="Georgia" w:hAnsi="Georgia"/>
          <w:color w:val="333333"/>
        </w:rPr>
      </w:pPr>
      <w:r>
        <w:rPr>
          <w:rFonts w:ascii="Georgia" w:hAnsi="Georgia"/>
          <w:color w:val="333333"/>
        </w:rPr>
        <w:t>Software that provides parameters that become the input for software as a medical device is not software as a medical device if it does not have a medical purpose. For example, a database including search and query functions by itself or when used by Software as a Medical Device.</w:t>
      </w:r>
    </w:p>
    <w:sectPr w:rsidR="004F25EC" w:rsidRPr="004F25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034648" w14:textId="77777777" w:rsidR="00AC2EBF" w:rsidRDefault="00AC2EBF" w:rsidP="0033241C">
      <w:pPr>
        <w:spacing w:after="0" w:line="240" w:lineRule="auto"/>
      </w:pPr>
      <w:r>
        <w:separator/>
      </w:r>
    </w:p>
  </w:endnote>
  <w:endnote w:type="continuationSeparator" w:id="0">
    <w:p w14:paraId="241B6B39" w14:textId="77777777" w:rsidR="00AC2EBF" w:rsidRDefault="00AC2EBF" w:rsidP="00332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D0A1CE" w14:textId="77777777" w:rsidR="00AC2EBF" w:rsidRDefault="00AC2EBF" w:rsidP="0033241C">
      <w:pPr>
        <w:spacing w:after="0" w:line="240" w:lineRule="auto"/>
      </w:pPr>
      <w:r>
        <w:separator/>
      </w:r>
    </w:p>
  </w:footnote>
  <w:footnote w:type="continuationSeparator" w:id="0">
    <w:p w14:paraId="392D42C5" w14:textId="77777777" w:rsidR="00AC2EBF" w:rsidRDefault="00AC2EBF" w:rsidP="00332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D639F2"/>
    <w:multiLevelType w:val="hybridMultilevel"/>
    <w:tmpl w:val="7D14F5B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9822DA"/>
    <w:multiLevelType w:val="hybridMultilevel"/>
    <w:tmpl w:val="8A60F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1A6265"/>
    <w:multiLevelType w:val="hybridMultilevel"/>
    <w:tmpl w:val="FE222AA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E25B46"/>
    <w:multiLevelType w:val="hybridMultilevel"/>
    <w:tmpl w:val="A8AEC0B8"/>
    <w:lvl w:ilvl="0" w:tplc="04090019">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C34A2A"/>
    <w:multiLevelType w:val="hybridMultilevel"/>
    <w:tmpl w:val="E688AF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4EC2902"/>
    <w:multiLevelType w:val="hybridMultilevel"/>
    <w:tmpl w:val="CBD426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BCC63FE"/>
    <w:multiLevelType w:val="hybridMultilevel"/>
    <w:tmpl w:val="9514B6B8"/>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D3172E"/>
    <w:multiLevelType w:val="hybridMultilevel"/>
    <w:tmpl w:val="E042FFC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947B1C"/>
    <w:multiLevelType w:val="hybridMultilevel"/>
    <w:tmpl w:val="F418D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072D82"/>
    <w:multiLevelType w:val="multilevel"/>
    <w:tmpl w:val="2BE8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5110A"/>
    <w:multiLevelType w:val="hybridMultilevel"/>
    <w:tmpl w:val="246222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DA5137D"/>
    <w:multiLevelType w:val="hybridMultilevel"/>
    <w:tmpl w:val="A47A87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6430EF"/>
    <w:multiLevelType w:val="hybridMultilevel"/>
    <w:tmpl w:val="F3F47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0845BF9"/>
    <w:multiLevelType w:val="hybridMultilevel"/>
    <w:tmpl w:val="B79C60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7A13053"/>
    <w:multiLevelType w:val="hybridMultilevel"/>
    <w:tmpl w:val="53E27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052E8"/>
    <w:multiLevelType w:val="hybridMultilevel"/>
    <w:tmpl w:val="C69CEBE2"/>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97310C5"/>
    <w:multiLevelType w:val="hybridMultilevel"/>
    <w:tmpl w:val="FAA65294"/>
    <w:lvl w:ilvl="0" w:tplc="04090001">
      <w:start w:val="1"/>
      <w:numFmt w:val="bullet"/>
      <w:lvlText w:val=""/>
      <w:lvlJc w:val="left"/>
      <w:pPr>
        <w:ind w:left="1080" w:hanging="360"/>
      </w:pPr>
      <w:rPr>
        <w:rFonts w:ascii="Symbol" w:hAnsi="Symbol" w:hint="default"/>
      </w:rPr>
    </w:lvl>
    <w:lvl w:ilvl="1" w:tplc="61AA5058">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9DB11B0"/>
    <w:multiLevelType w:val="hybridMultilevel"/>
    <w:tmpl w:val="7F58D98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3C919BF"/>
    <w:multiLevelType w:val="multilevel"/>
    <w:tmpl w:val="E19C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7133A"/>
    <w:multiLevelType w:val="hybridMultilevel"/>
    <w:tmpl w:val="8748343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90405ED"/>
    <w:multiLevelType w:val="multilevel"/>
    <w:tmpl w:val="E40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83A15"/>
    <w:multiLevelType w:val="hybridMultilevel"/>
    <w:tmpl w:val="D91C9580"/>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DA4AF4"/>
    <w:multiLevelType w:val="hybridMultilevel"/>
    <w:tmpl w:val="566E1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C9E31CF"/>
    <w:multiLevelType w:val="hybridMultilevel"/>
    <w:tmpl w:val="3D9023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ACE7D80"/>
    <w:multiLevelType w:val="hybridMultilevel"/>
    <w:tmpl w:val="BFDAC71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BA953E3"/>
    <w:multiLevelType w:val="hybridMultilevel"/>
    <w:tmpl w:val="6D329E5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B06BF5"/>
    <w:multiLevelType w:val="hybridMultilevel"/>
    <w:tmpl w:val="2B1AFE86"/>
    <w:lvl w:ilvl="0" w:tplc="0409000F">
      <w:start w:val="1"/>
      <w:numFmt w:val="decimal"/>
      <w:lvlText w:val="%1."/>
      <w:lvlJc w:val="left"/>
      <w:pPr>
        <w:ind w:left="720" w:hanging="360"/>
      </w:pPr>
    </w:lvl>
    <w:lvl w:ilvl="1" w:tplc="155CE916">
      <w:start w:val="3"/>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5F31D5"/>
    <w:multiLevelType w:val="hybridMultilevel"/>
    <w:tmpl w:val="F3F47B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6"/>
  </w:num>
  <w:num w:numId="2">
    <w:abstractNumId w:val="10"/>
  </w:num>
  <w:num w:numId="3">
    <w:abstractNumId w:val="8"/>
  </w:num>
  <w:num w:numId="4">
    <w:abstractNumId w:val="1"/>
  </w:num>
  <w:num w:numId="5">
    <w:abstractNumId w:val="16"/>
  </w:num>
  <w:num w:numId="6">
    <w:abstractNumId w:val="14"/>
  </w:num>
  <w:num w:numId="7">
    <w:abstractNumId w:val="22"/>
  </w:num>
  <w:num w:numId="8">
    <w:abstractNumId w:val="6"/>
  </w:num>
  <w:num w:numId="9">
    <w:abstractNumId w:val="7"/>
  </w:num>
  <w:num w:numId="10">
    <w:abstractNumId w:val="21"/>
  </w:num>
  <w:num w:numId="11">
    <w:abstractNumId w:val="15"/>
  </w:num>
  <w:num w:numId="12">
    <w:abstractNumId w:val="2"/>
  </w:num>
  <w:num w:numId="13">
    <w:abstractNumId w:val="17"/>
  </w:num>
  <w:num w:numId="14">
    <w:abstractNumId w:val="0"/>
  </w:num>
  <w:num w:numId="15">
    <w:abstractNumId w:val="3"/>
  </w:num>
  <w:num w:numId="16">
    <w:abstractNumId w:val="11"/>
  </w:num>
  <w:num w:numId="17">
    <w:abstractNumId w:val="5"/>
  </w:num>
  <w:num w:numId="18">
    <w:abstractNumId w:val="4"/>
  </w:num>
  <w:num w:numId="19">
    <w:abstractNumId w:val="23"/>
  </w:num>
  <w:num w:numId="20">
    <w:abstractNumId w:val="12"/>
  </w:num>
  <w:num w:numId="21">
    <w:abstractNumId w:val="27"/>
  </w:num>
  <w:num w:numId="22">
    <w:abstractNumId w:val="25"/>
  </w:num>
  <w:num w:numId="23">
    <w:abstractNumId w:val="13"/>
  </w:num>
  <w:num w:numId="24">
    <w:abstractNumId w:val="24"/>
  </w:num>
  <w:num w:numId="25">
    <w:abstractNumId w:val="19"/>
  </w:num>
  <w:num w:numId="26">
    <w:abstractNumId w:val="9"/>
  </w:num>
  <w:num w:numId="27">
    <w:abstractNumId w:val="20"/>
  </w:num>
  <w:num w:numId="2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EC"/>
    <w:rsid w:val="00221476"/>
    <w:rsid w:val="00263986"/>
    <w:rsid w:val="0033241C"/>
    <w:rsid w:val="0033518A"/>
    <w:rsid w:val="00353CEC"/>
    <w:rsid w:val="00385A17"/>
    <w:rsid w:val="00395466"/>
    <w:rsid w:val="004D0D9E"/>
    <w:rsid w:val="004F25EC"/>
    <w:rsid w:val="00583CBA"/>
    <w:rsid w:val="006171FF"/>
    <w:rsid w:val="006A6F4E"/>
    <w:rsid w:val="00855958"/>
    <w:rsid w:val="008B1DFD"/>
    <w:rsid w:val="00A26700"/>
    <w:rsid w:val="00AB240C"/>
    <w:rsid w:val="00AC2EBF"/>
    <w:rsid w:val="00AF7C22"/>
    <w:rsid w:val="00C1568D"/>
    <w:rsid w:val="00C6645F"/>
    <w:rsid w:val="00CF73A4"/>
    <w:rsid w:val="00D27256"/>
    <w:rsid w:val="00D34AB3"/>
    <w:rsid w:val="00D4154B"/>
    <w:rsid w:val="00E94810"/>
    <w:rsid w:val="00F41271"/>
    <w:rsid w:val="00FD6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F9030C"/>
  <w15:chartTrackingRefBased/>
  <w15:docId w15:val="{183AB2D2-7E97-4CF2-9BDC-B3665F9A7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85A1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CEC"/>
    <w:pPr>
      <w:ind w:left="720"/>
      <w:contextualSpacing/>
    </w:pPr>
  </w:style>
  <w:style w:type="character" w:styleId="Hyperlink">
    <w:name w:val="Hyperlink"/>
    <w:basedOn w:val="DefaultParagraphFont"/>
    <w:uiPriority w:val="99"/>
    <w:semiHidden/>
    <w:unhideWhenUsed/>
    <w:rsid w:val="00C6645F"/>
    <w:rPr>
      <w:color w:val="0000FF"/>
      <w:u w:val="single"/>
    </w:rPr>
  </w:style>
  <w:style w:type="character" w:styleId="Strong">
    <w:name w:val="Strong"/>
    <w:basedOn w:val="DefaultParagraphFont"/>
    <w:uiPriority w:val="22"/>
    <w:qFormat/>
    <w:rsid w:val="0033518A"/>
    <w:rPr>
      <w:b/>
      <w:bCs/>
    </w:rPr>
  </w:style>
  <w:style w:type="character" w:customStyle="1" w:styleId="Heading3Char">
    <w:name w:val="Heading 3 Char"/>
    <w:basedOn w:val="DefaultParagraphFont"/>
    <w:link w:val="Heading3"/>
    <w:uiPriority w:val="9"/>
    <w:rsid w:val="00385A17"/>
    <w:rPr>
      <w:rFonts w:ascii="Times New Roman" w:eastAsia="Times New Roman" w:hAnsi="Times New Roman" w:cs="Times New Roman"/>
      <w:b/>
      <w:bCs/>
      <w:sz w:val="27"/>
      <w:szCs w:val="27"/>
    </w:rPr>
  </w:style>
  <w:style w:type="paragraph" w:styleId="NormalWeb">
    <w:name w:val="Normal (Web)"/>
    <w:basedOn w:val="Normal"/>
    <w:uiPriority w:val="99"/>
    <w:unhideWhenUsed/>
    <w:rsid w:val="00385A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w-headline">
    <w:name w:val="mw-headline"/>
    <w:basedOn w:val="DefaultParagraphFont"/>
    <w:rsid w:val="00385A17"/>
  </w:style>
  <w:style w:type="character" w:customStyle="1" w:styleId="mw-editsection">
    <w:name w:val="mw-editsection"/>
    <w:basedOn w:val="DefaultParagraphFont"/>
    <w:rsid w:val="006A6F4E"/>
  </w:style>
  <w:style w:type="character" w:customStyle="1" w:styleId="mw-editsection-bracket">
    <w:name w:val="mw-editsection-bracket"/>
    <w:basedOn w:val="DefaultParagraphFont"/>
    <w:rsid w:val="006A6F4E"/>
  </w:style>
  <w:style w:type="character" w:customStyle="1" w:styleId="sr-only">
    <w:name w:val="sr-only"/>
    <w:basedOn w:val="DefaultParagraphFont"/>
    <w:rsid w:val="004F25EC"/>
  </w:style>
  <w:style w:type="character" w:styleId="Emphasis">
    <w:name w:val="Emphasis"/>
    <w:basedOn w:val="DefaultParagraphFont"/>
    <w:uiPriority w:val="20"/>
    <w:qFormat/>
    <w:rsid w:val="00CF73A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052443">
      <w:bodyDiv w:val="1"/>
      <w:marLeft w:val="0"/>
      <w:marRight w:val="0"/>
      <w:marTop w:val="0"/>
      <w:marBottom w:val="0"/>
      <w:divBdr>
        <w:top w:val="none" w:sz="0" w:space="0" w:color="auto"/>
        <w:left w:val="none" w:sz="0" w:space="0" w:color="auto"/>
        <w:bottom w:val="none" w:sz="0" w:space="0" w:color="auto"/>
        <w:right w:val="none" w:sz="0" w:space="0" w:color="auto"/>
      </w:divBdr>
    </w:div>
    <w:div w:id="609703791">
      <w:bodyDiv w:val="1"/>
      <w:marLeft w:val="0"/>
      <w:marRight w:val="0"/>
      <w:marTop w:val="0"/>
      <w:marBottom w:val="0"/>
      <w:divBdr>
        <w:top w:val="none" w:sz="0" w:space="0" w:color="auto"/>
        <w:left w:val="none" w:sz="0" w:space="0" w:color="auto"/>
        <w:bottom w:val="none" w:sz="0" w:space="0" w:color="auto"/>
        <w:right w:val="none" w:sz="0" w:space="0" w:color="auto"/>
      </w:divBdr>
    </w:div>
    <w:div w:id="1422340287">
      <w:bodyDiv w:val="1"/>
      <w:marLeft w:val="0"/>
      <w:marRight w:val="0"/>
      <w:marTop w:val="0"/>
      <w:marBottom w:val="0"/>
      <w:divBdr>
        <w:top w:val="none" w:sz="0" w:space="0" w:color="auto"/>
        <w:left w:val="none" w:sz="0" w:space="0" w:color="auto"/>
        <w:bottom w:val="none" w:sz="0" w:space="0" w:color="auto"/>
        <w:right w:val="none" w:sz="0" w:space="0" w:color="auto"/>
      </w:divBdr>
      <w:divsChild>
        <w:div w:id="1420784293">
          <w:marLeft w:val="0"/>
          <w:marRight w:val="0"/>
          <w:marTop w:val="0"/>
          <w:marBottom w:val="0"/>
          <w:divBdr>
            <w:top w:val="none" w:sz="0" w:space="0" w:color="auto"/>
            <w:left w:val="none" w:sz="0" w:space="0" w:color="auto"/>
            <w:bottom w:val="none" w:sz="0" w:space="0" w:color="auto"/>
            <w:right w:val="none" w:sz="0" w:space="0" w:color="auto"/>
          </w:divBdr>
        </w:div>
      </w:divsChild>
    </w:div>
    <w:div w:id="1997489187">
      <w:bodyDiv w:val="1"/>
      <w:marLeft w:val="0"/>
      <w:marRight w:val="0"/>
      <w:marTop w:val="0"/>
      <w:marBottom w:val="0"/>
      <w:divBdr>
        <w:top w:val="none" w:sz="0" w:space="0" w:color="auto"/>
        <w:left w:val="none" w:sz="0" w:space="0" w:color="auto"/>
        <w:bottom w:val="none" w:sz="0" w:space="0" w:color="auto"/>
        <w:right w:val="none" w:sz="0" w:space="0" w:color="auto"/>
      </w:divBdr>
    </w:div>
    <w:div w:id="2133136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fda.gov/about-fda/website-policies/website-disclaim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4541</TotalTime>
  <Pages>7</Pages>
  <Words>2095</Words>
  <Characters>11944</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Ramojwar</dc:creator>
  <cp:keywords/>
  <dc:description/>
  <cp:lastModifiedBy>Madhura Ramojwar</cp:lastModifiedBy>
  <cp:revision>8</cp:revision>
  <dcterms:created xsi:type="dcterms:W3CDTF">2021-01-22T04:18:00Z</dcterms:created>
  <dcterms:modified xsi:type="dcterms:W3CDTF">2021-03-29T10:46:00Z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b5591f2-6b23-403d-aa5f-b6d577f5e572_Enabled">
    <vt:lpwstr>true</vt:lpwstr>
  </property>
  <property fmtid="{D5CDD505-2E9C-101B-9397-08002B2CF9AE}" pid="3" name="MSIP_Label_4b5591f2-6b23-403d-aa5f-b6d577f5e572_SetDate">
    <vt:lpwstr>2021-01-25T05:02:29Z</vt:lpwstr>
  </property>
  <property fmtid="{D5CDD505-2E9C-101B-9397-08002B2CF9AE}" pid="4" name="MSIP_Label_4b5591f2-6b23-403d-aa5f-b6d577f5e572_Method">
    <vt:lpwstr>Standard</vt:lpwstr>
  </property>
  <property fmtid="{D5CDD505-2E9C-101B-9397-08002B2CF9AE}" pid="5" name="MSIP_Label_4b5591f2-6b23-403d-aa5f-b6d577f5e572_Name">
    <vt:lpwstr>4b5591f2-6b23-403d-aa5f-b6d577f5e572</vt:lpwstr>
  </property>
  <property fmtid="{D5CDD505-2E9C-101B-9397-08002B2CF9AE}" pid="6" name="MSIP_Label_4b5591f2-6b23-403d-aa5f-b6d577f5e572_SiteId">
    <vt:lpwstr>311b3378-8e8a-4b5e-a33f-e80a3d8ba60a</vt:lpwstr>
  </property>
  <property fmtid="{D5CDD505-2E9C-101B-9397-08002B2CF9AE}" pid="7" name="MSIP_Label_4b5591f2-6b23-403d-aa5f-b6d577f5e572_ActionId">
    <vt:lpwstr>48da415d-9fe7-4e45-a67f-000086d8eb13</vt:lpwstr>
  </property>
  <property fmtid="{D5CDD505-2E9C-101B-9397-08002B2CF9AE}" pid="8" name="MSIP_Label_4b5591f2-6b23-403d-aa5f-b6d577f5e572_ContentBits">
    <vt:lpwstr>0</vt:lpwstr>
  </property>
</Properties>
</file>