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02BA" w:rsidRPr="00BC232D" w:rsidRDefault="003102BA" w:rsidP="003B6633">
      <w:pPr>
        <w:jc w:val="both"/>
        <w:rPr>
          <w:rFonts w:cstheme="minorHAnsi"/>
          <w:b/>
          <w:sz w:val="28"/>
          <w:szCs w:val="28"/>
          <w:u w:val="single"/>
        </w:rPr>
      </w:pPr>
      <w:r w:rsidRPr="00BC232D">
        <w:rPr>
          <w:rFonts w:cstheme="minorHAnsi"/>
          <w:b/>
          <w:sz w:val="28"/>
          <w:szCs w:val="28"/>
          <w:u w:val="single"/>
        </w:rPr>
        <w:t xml:space="preserve">EUMDR - </w:t>
      </w:r>
      <w:r w:rsidRPr="00BC232D">
        <w:rPr>
          <w:rFonts w:cstheme="minorHAnsi"/>
          <w:b/>
          <w:sz w:val="28"/>
          <w:szCs w:val="28"/>
          <w:u w:val="single"/>
          <w:shd w:val="clear" w:color="auto" w:fill="FFFFFF"/>
        </w:rPr>
        <w:t xml:space="preserve">European Medical Device Regulation </w:t>
      </w:r>
    </w:p>
    <w:p w:rsidR="003102BA" w:rsidRPr="00BC232D" w:rsidRDefault="003102BA" w:rsidP="003B6633">
      <w:pPr>
        <w:pStyle w:val="ListParagraph"/>
        <w:numPr>
          <w:ilvl w:val="0"/>
          <w:numId w:val="6"/>
        </w:numPr>
        <w:jc w:val="both"/>
        <w:rPr>
          <w:rFonts w:cstheme="minorHAnsi"/>
          <w:color w:val="303735"/>
          <w:sz w:val="24"/>
          <w:szCs w:val="24"/>
          <w:shd w:val="clear" w:color="auto" w:fill="FFFFFF"/>
        </w:rPr>
      </w:pPr>
      <w:r w:rsidRPr="00BC232D">
        <w:rPr>
          <w:rFonts w:cstheme="minorHAnsi"/>
          <w:color w:val="303735"/>
          <w:sz w:val="24"/>
          <w:szCs w:val="24"/>
          <w:shd w:val="clear" w:color="auto" w:fill="FFFFFF"/>
        </w:rPr>
        <w:t>The </w:t>
      </w:r>
      <w:r w:rsidRPr="00BC232D">
        <w:rPr>
          <w:rFonts w:cstheme="minorHAnsi"/>
          <w:sz w:val="24"/>
          <w:szCs w:val="24"/>
          <w:shd w:val="clear" w:color="auto" w:fill="FFFFFF"/>
        </w:rPr>
        <w:t>European Medical Device Regulation (MDR)</w:t>
      </w:r>
      <w:r w:rsidRPr="00BC232D">
        <w:rPr>
          <w:rFonts w:cstheme="minorHAnsi"/>
          <w:color w:val="303735"/>
          <w:sz w:val="24"/>
          <w:szCs w:val="24"/>
          <w:shd w:val="clear" w:color="auto" w:fill="FFFFFF"/>
        </w:rPr>
        <w:t> is a new set of regulations that governs the production and distribution of medical devices in Europe, and compliance with the regulation is mandatory for </w:t>
      </w:r>
      <w:r w:rsidRPr="00BC232D">
        <w:rPr>
          <w:rFonts w:cstheme="minorHAnsi"/>
          <w:sz w:val="24"/>
          <w:szCs w:val="24"/>
          <w:shd w:val="clear" w:color="auto" w:fill="FFFFFF"/>
        </w:rPr>
        <w:t>medical device companies</w:t>
      </w:r>
      <w:r w:rsidRPr="00BC232D">
        <w:rPr>
          <w:rFonts w:cstheme="minorHAnsi"/>
          <w:color w:val="303735"/>
          <w:sz w:val="24"/>
          <w:szCs w:val="24"/>
          <w:shd w:val="clear" w:color="auto" w:fill="FFFFFF"/>
        </w:rPr>
        <w:t> that want to sell their products in the European marketplace.</w:t>
      </w:r>
    </w:p>
    <w:p w:rsidR="003102BA" w:rsidRPr="00BC232D" w:rsidRDefault="003102BA" w:rsidP="003B6633">
      <w:pPr>
        <w:pStyle w:val="ListParagraph"/>
        <w:numPr>
          <w:ilvl w:val="0"/>
          <w:numId w:val="6"/>
        </w:numPr>
        <w:jc w:val="both"/>
        <w:rPr>
          <w:rFonts w:cstheme="minorHAnsi"/>
          <w:color w:val="202124"/>
          <w:sz w:val="24"/>
          <w:szCs w:val="24"/>
          <w:shd w:val="clear" w:color="auto" w:fill="FFFFFF"/>
        </w:rPr>
      </w:pPr>
      <w:r w:rsidRPr="00BC232D">
        <w:rPr>
          <w:rFonts w:cstheme="minorHAnsi"/>
          <w:color w:val="202124"/>
          <w:sz w:val="24"/>
          <w:szCs w:val="24"/>
          <w:shd w:val="clear" w:color="auto" w:fill="FFFFFF"/>
        </w:rPr>
        <w:t>It ensures high standards of quality and safety for medical devices being produced in or supplied into </w:t>
      </w:r>
      <w:r w:rsidRPr="00BC232D">
        <w:rPr>
          <w:rFonts w:cstheme="minorHAnsi"/>
          <w:bCs/>
          <w:color w:val="202124"/>
          <w:sz w:val="24"/>
          <w:szCs w:val="24"/>
          <w:shd w:val="clear" w:color="auto" w:fill="FFFFFF"/>
        </w:rPr>
        <w:t>Europe</w:t>
      </w:r>
      <w:r w:rsidRPr="00BC232D">
        <w:rPr>
          <w:rFonts w:cstheme="minorHAnsi"/>
          <w:color w:val="202124"/>
          <w:sz w:val="24"/>
          <w:szCs w:val="24"/>
          <w:shd w:val="clear" w:color="auto" w:fill="FFFFFF"/>
        </w:rPr>
        <w:t>.</w:t>
      </w:r>
    </w:p>
    <w:p w:rsidR="003102BA" w:rsidRPr="00BC232D" w:rsidRDefault="003102BA" w:rsidP="003B6633">
      <w:pPr>
        <w:pStyle w:val="ListParagraph"/>
        <w:numPr>
          <w:ilvl w:val="0"/>
          <w:numId w:val="6"/>
        </w:numPr>
        <w:shd w:val="clear" w:color="auto" w:fill="FFFFFF"/>
        <w:spacing w:after="150" w:line="240" w:lineRule="auto"/>
        <w:jc w:val="both"/>
        <w:rPr>
          <w:rFonts w:eastAsia="Times New Roman" w:cstheme="minorHAnsi"/>
          <w:color w:val="0D0D0D" w:themeColor="text1" w:themeTint="F2"/>
          <w:sz w:val="24"/>
          <w:szCs w:val="24"/>
          <w:lang w:eastAsia="en-IN"/>
        </w:rPr>
      </w:pPr>
      <w:r w:rsidRPr="00BC232D">
        <w:rPr>
          <w:rFonts w:eastAsia="Times New Roman" w:cstheme="minorHAnsi"/>
          <w:color w:val="0D0D0D" w:themeColor="text1" w:themeTint="F2"/>
          <w:sz w:val="24"/>
          <w:szCs w:val="24"/>
          <w:lang w:eastAsia="en-IN"/>
        </w:rPr>
        <w:t>The European regulatory framework ensures the safety and efficacy of medical devices and facilitates patients’ access to devices in the European market.</w:t>
      </w:r>
    </w:p>
    <w:p w:rsidR="003102BA" w:rsidRPr="00BC232D" w:rsidRDefault="003102BA" w:rsidP="003B6633">
      <w:pPr>
        <w:pStyle w:val="ListParagraph"/>
        <w:numPr>
          <w:ilvl w:val="0"/>
          <w:numId w:val="6"/>
        </w:numPr>
        <w:shd w:val="clear" w:color="auto" w:fill="FFFFFF"/>
        <w:spacing w:after="150" w:line="240" w:lineRule="auto"/>
        <w:jc w:val="both"/>
        <w:rPr>
          <w:rFonts w:eastAsia="Times New Roman" w:cstheme="minorHAnsi"/>
          <w:color w:val="0D0D0D" w:themeColor="text1" w:themeTint="F2"/>
          <w:sz w:val="24"/>
          <w:szCs w:val="24"/>
          <w:lang w:eastAsia="en-IN"/>
        </w:rPr>
      </w:pPr>
      <w:r w:rsidRPr="00BC232D">
        <w:rPr>
          <w:rFonts w:eastAsia="Times New Roman" w:cstheme="minorHAnsi"/>
          <w:color w:val="0D0D0D" w:themeColor="text1" w:themeTint="F2"/>
          <w:sz w:val="24"/>
          <w:szCs w:val="24"/>
          <w:lang w:eastAsia="en-IN"/>
        </w:rPr>
        <w:t>To keep up with advances in science and technology, </w:t>
      </w:r>
      <w:r w:rsidRPr="00BC232D">
        <w:rPr>
          <w:rFonts w:eastAsia="Times New Roman" w:cstheme="minorHAnsi"/>
          <w:b/>
          <w:bCs/>
          <w:color w:val="0D0D0D" w:themeColor="text1" w:themeTint="F2"/>
          <w:sz w:val="24"/>
          <w:szCs w:val="24"/>
          <w:lang w:eastAsia="en-IN"/>
        </w:rPr>
        <w:t>2 new Regulations </w:t>
      </w:r>
      <w:r w:rsidRPr="00BC232D">
        <w:rPr>
          <w:rFonts w:eastAsia="Times New Roman" w:cstheme="minorHAnsi"/>
          <w:color w:val="0D0D0D" w:themeColor="text1" w:themeTint="F2"/>
          <w:sz w:val="24"/>
          <w:szCs w:val="24"/>
          <w:lang w:eastAsia="en-IN"/>
        </w:rPr>
        <w:t>are replacing the</w:t>
      </w:r>
      <w:r w:rsidRPr="00BC232D">
        <w:rPr>
          <w:rFonts w:eastAsia="Times New Roman" w:cstheme="minorHAnsi"/>
          <w:b/>
          <w:bCs/>
          <w:color w:val="0D0D0D" w:themeColor="text1" w:themeTint="F2"/>
          <w:sz w:val="24"/>
          <w:szCs w:val="24"/>
          <w:lang w:eastAsia="en-IN"/>
        </w:rPr>
        <w:t> 3 existing Directives </w:t>
      </w:r>
      <w:r w:rsidRPr="00BC232D">
        <w:rPr>
          <w:rFonts w:eastAsia="Times New Roman" w:cstheme="minorHAnsi"/>
          <w:color w:val="0D0D0D" w:themeColor="text1" w:themeTint="F2"/>
          <w:sz w:val="24"/>
          <w:szCs w:val="24"/>
          <w:lang w:eastAsia="en-IN"/>
        </w:rPr>
        <w:t>in the coming years (until 2022).</w:t>
      </w:r>
    </w:p>
    <w:p w:rsidR="003102BA" w:rsidRPr="00BC232D" w:rsidRDefault="003102BA" w:rsidP="003B6633">
      <w:pPr>
        <w:shd w:val="clear" w:color="auto" w:fill="FFFFFF"/>
        <w:spacing w:after="150" w:line="240" w:lineRule="auto"/>
        <w:ind w:firstLine="720"/>
        <w:jc w:val="both"/>
        <w:rPr>
          <w:rFonts w:eastAsia="Times New Roman" w:cstheme="minorHAnsi"/>
          <w:color w:val="0D0D0D" w:themeColor="text1" w:themeTint="F2"/>
          <w:sz w:val="24"/>
          <w:szCs w:val="24"/>
          <w:lang w:eastAsia="en-IN"/>
        </w:rPr>
      </w:pPr>
      <w:r w:rsidRPr="003102BA">
        <w:rPr>
          <w:rFonts w:eastAsia="Times New Roman" w:cstheme="minorHAnsi"/>
          <w:color w:val="0D0D0D" w:themeColor="text1" w:themeTint="F2"/>
          <w:sz w:val="24"/>
          <w:szCs w:val="24"/>
          <w:lang w:eastAsia="en-IN"/>
        </w:rPr>
        <w:t>Medical devices within the EU are currently regulated by </w:t>
      </w:r>
      <w:r w:rsidRPr="00BC232D">
        <w:rPr>
          <w:rFonts w:eastAsia="Times New Roman" w:cstheme="minorHAnsi"/>
          <w:b/>
          <w:bCs/>
          <w:color w:val="0D0D0D" w:themeColor="text1" w:themeTint="F2"/>
          <w:sz w:val="24"/>
          <w:szCs w:val="24"/>
          <w:lang w:eastAsia="en-IN"/>
        </w:rPr>
        <w:t>3 Directives</w:t>
      </w:r>
      <w:r w:rsidRPr="003102BA">
        <w:rPr>
          <w:rFonts w:eastAsia="Times New Roman" w:cstheme="minorHAnsi"/>
          <w:color w:val="0D0D0D" w:themeColor="text1" w:themeTint="F2"/>
          <w:sz w:val="24"/>
          <w:szCs w:val="24"/>
          <w:lang w:eastAsia="en-IN"/>
        </w:rPr>
        <w:t>:</w:t>
      </w:r>
    </w:p>
    <w:p w:rsidR="003102BA" w:rsidRPr="00BC232D" w:rsidRDefault="003102BA" w:rsidP="003B6633">
      <w:pPr>
        <w:pStyle w:val="ListParagraph"/>
        <w:numPr>
          <w:ilvl w:val="0"/>
          <w:numId w:val="7"/>
        </w:numPr>
        <w:shd w:val="clear" w:color="auto" w:fill="FFFFFF"/>
        <w:spacing w:after="150" w:line="240" w:lineRule="auto"/>
        <w:jc w:val="both"/>
        <w:rPr>
          <w:rFonts w:eastAsia="Times New Roman" w:cstheme="minorHAnsi"/>
          <w:color w:val="0D0D0D" w:themeColor="text1" w:themeTint="F2"/>
          <w:sz w:val="24"/>
          <w:szCs w:val="24"/>
          <w:lang w:eastAsia="en-IN"/>
        </w:rPr>
      </w:pPr>
      <w:r w:rsidRPr="00BC232D">
        <w:rPr>
          <w:rFonts w:eastAsia="Times New Roman" w:cstheme="minorHAnsi"/>
          <w:color w:val="0D0D0D" w:themeColor="text1" w:themeTint="F2"/>
          <w:sz w:val="24"/>
          <w:szCs w:val="24"/>
          <w:lang w:eastAsia="en-IN"/>
        </w:rPr>
        <w:t>Council Directive 90/385/EEC on Active Implantable Medical Devices (AIMDD) (1990)</w:t>
      </w:r>
    </w:p>
    <w:p w:rsidR="003102BA" w:rsidRPr="00BC232D" w:rsidRDefault="003102BA" w:rsidP="003B6633">
      <w:pPr>
        <w:pStyle w:val="ListParagraph"/>
        <w:numPr>
          <w:ilvl w:val="0"/>
          <w:numId w:val="7"/>
        </w:numPr>
        <w:shd w:val="clear" w:color="auto" w:fill="FFFFFF"/>
        <w:spacing w:after="150" w:line="240" w:lineRule="auto"/>
        <w:jc w:val="both"/>
        <w:rPr>
          <w:rFonts w:eastAsia="Times New Roman" w:cstheme="minorHAnsi"/>
          <w:color w:val="0D0D0D" w:themeColor="text1" w:themeTint="F2"/>
          <w:sz w:val="24"/>
          <w:szCs w:val="24"/>
          <w:lang w:eastAsia="en-IN"/>
        </w:rPr>
      </w:pPr>
      <w:r w:rsidRPr="00BC232D">
        <w:rPr>
          <w:rFonts w:eastAsia="Times New Roman" w:cstheme="minorHAnsi"/>
          <w:color w:val="0D0D0D" w:themeColor="text1" w:themeTint="F2"/>
          <w:sz w:val="24"/>
          <w:szCs w:val="24"/>
          <w:lang w:eastAsia="en-IN"/>
        </w:rPr>
        <w:t>Council Directive 93/42/EEC on Medical Devices (MDD) (1993)</w:t>
      </w:r>
    </w:p>
    <w:p w:rsidR="003102BA" w:rsidRPr="00BC232D" w:rsidRDefault="003102BA" w:rsidP="003B6633">
      <w:pPr>
        <w:pStyle w:val="ListParagraph"/>
        <w:numPr>
          <w:ilvl w:val="0"/>
          <w:numId w:val="7"/>
        </w:numPr>
        <w:shd w:val="clear" w:color="auto" w:fill="FFFFFF"/>
        <w:spacing w:after="150" w:line="240" w:lineRule="auto"/>
        <w:jc w:val="both"/>
        <w:rPr>
          <w:rFonts w:eastAsia="Times New Roman" w:cstheme="minorHAnsi"/>
          <w:color w:val="0D0D0D" w:themeColor="text1" w:themeTint="F2"/>
          <w:sz w:val="24"/>
          <w:szCs w:val="24"/>
          <w:lang w:eastAsia="en-IN"/>
        </w:rPr>
      </w:pPr>
      <w:r w:rsidRPr="00BC232D">
        <w:rPr>
          <w:rFonts w:eastAsia="Times New Roman" w:cstheme="minorHAnsi"/>
          <w:color w:val="0D0D0D" w:themeColor="text1" w:themeTint="F2"/>
          <w:sz w:val="24"/>
          <w:szCs w:val="24"/>
          <w:lang w:eastAsia="en-IN"/>
        </w:rPr>
        <w:t>Directive 98/79/EC of the European Parliament and of the Council on in vitro Diagnostic Medical Devices (IVDMD)</w:t>
      </w:r>
    </w:p>
    <w:p w:rsidR="003102BA" w:rsidRPr="00BC232D" w:rsidRDefault="003102BA" w:rsidP="003B6633">
      <w:pPr>
        <w:pStyle w:val="ListParagraph"/>
        <w:numPr>
          <w:ilvl w:val="0"/>
          <w:numId w:val="10"/>
        </w:numPr>
        <w:shd w:val="clear" w:color="auto" w:fill="FFFFFF"/>
        <w:spacing w:after="150" w:line="240" w:lineRule="auto"/>
        <w:jc w:val="both"/>
        <w:rPr>
          <w:rFonts w:eastAsia="Times New Roman" w:cstheme="minorHAnsi"/>
          <w:color w:val="0D0D0D" w:themeColor="text1" w:themeTint="F2"/>
          <w:sz w:val="24"/>
          <w:szCs w:val="18"/>
          <w:lang w:eastAsia="en-IN"/>
        </w:rPr>
      </w:pPr>
      <w:r w:rsidRPr="00BC232D">
        <w:rPr>
          <w:rFonts w:eastAsia="Times New Roman" w:cstheme="minorHAnsi"/>
          <w:color w:val="0D0D0D" w:themeColor="text1" w:themeTint="F2"/>
          <w:sz w:val="24"/>
          <w:szCs w:val="18"/>
          <w:lang w:eastAsia="en-IN"/>
        </w:rPr>
        <w:t>On </w:t>
      </w:r>
      <w:r w:rsidRPr="00BC232D">
        <w:rPr>
          <w:rFonts w:eastAsia="Times New Roman" w:cstheme="minorHAnsi"/>
          <w:b/>
          <w:bCs/>
          <w:color w:val="0D0D0D" w:themeColor="text1" w:themeTint="F2"/>
          <w:sz w:val="24"/>
          <w:szCs w:val="18"/>
          <w:lang w:eastAsia="en-IN"/>
        </w:rPr>
        <w:t>5 April 2017, 2 new Regulations</w:t>
      </w:r>
      <w:r w:rsidRPr="00BC232D">
        <w:rPr>
          <w:rFonts w:eastAsia="Times New Roman" w:cstheme="minorHAnsi"/>
          <w:color w:val="0D0D0D" w:themeColor="text1" w:themeTint="F2"/>
          <w:sz w:val="24"/>
          <w:szCs w:val="18"/>
          <w:lang w:eastAsia="en-IN"/>
        </w:rPr>
        <w:t> on medical devices and in vitro diagnostic medical devices establishing a modernised and more robust EU legislative framework to ensure better protection of public health and patient safety were adopted.</w:t>
      </w:r>
    </w:p>
    <w:p w:rsidR="003102BA" w:rsidRPr="00BC232D" w:rsidRDefault="003102BA" w:rsidP="003B6633">
      <w:pPr>
        <w:pStyle w:val="ListParagraph"/>
        <w:numPr>
          <w:ilvl w:val="0"/>
          <w:numId w:val="11"/>
        </w:numPr>
        <w:shd w:val="clear" w:color="auto" w:fill="FFFFFF"/>
        <w:spacing w:after="150" w:line="240" w:lineRule="auto"/>
        <w:jc w:val="both"/>
        <w:rPr>
          <w:rFonts w:eastAsia="Times New Roman" w:cstheme="minorHAnsi"/>
          <w:color w:val="0D0D0D" w:themeColor="text1" w:themeTint="F2"/>
          <w:sz w:val="24"/>
          <w:szCs w:val="18"/>
          <w:lang w:eastAsia="en-IN"/>
        </w:rPr>
      </w:pPr>
      <w:r w:rsidRPr="00BC232D">
        <w:rPr>
          <w:rFonts w:eastAsia="Times New Roman" w:cstheme="minorHAnsi"/>
          <w:b/>
          <w:color w:val="0D0D0D" w:themeColor="text1" w:themeTint="F2"/>
          <w:sz w:val="24"/>
          <w:szCs w:val="18"/>
          <w:lang w:eastAsia="en-IN"/>
        </w:rPr>
        <w:t>Regulation (EU) 2017/745</w:t>
      </w:r>
      <w:r w:rsidRPr="00BC232D">
        <w:rPr>
          <w:rFonts w:eastAsia="Times New Roman" w:cstheme="minorHAnsi"/>
          <w:color w:val="0D0D0D" w:themeColor="text1" w:themeTint="F2"/>
          <w:sz w:val="24"/>
          <w:szCs w:val="18"/>
          <w:lang w:eastAsia="en-IN"/>
        </w:rPr>
        <w:t> of the European Parliament and of the Council of 5 April 2017 on medical devices, amending Directive 2001/83/EC, Regulation (EC) No 178/2002 and Regulation (EC) No 1223/2009 and repealing Council Directives 90/385/EEC and 93/42/EEC</w:t>
      </w:r>
    </w:p>
    <w:p w:rsidR="003102BA" w:rsidRPr="00BC232D" w:rsidRDefault="003102BA" w:rsidP="003B6633">
      <w:pPr>
        <w:pStyle w:val="ListParagraph"/>
        <w:numPr>
          <w:ilvl w:val="0"/>
          <w:numId w:val="11"/>
        </w:numPr>
        <w:shd w:val="clear" w:color="auto" w:fill="FFFFFF"/>
        <w:spacing w:after="150" w:line="240" w:lineRule="auto"/>
        <w:jc w:val="both"/>
        <w:rPr>
          <w:rFonts w:eastAsia="Times New Roman" w:cstheme="minorHAnsi"/>
          <w:color w:val="0D0D0D" w:themeColor="text1" w:themeTint="F2"/>
          <w:sz w:val="24"/>
          <w:szCs w:val="18"/>
          <w:lang w:eastAsia="en-IN"/>
        </w:rPr>
      </w:pPr>
      <w:r w:rsidRPr="00BC232D">
        <w:rPr>
          <w:rFonts w:eastAsia="Times New Roman" w:cstheme="minorHAnsi"/>
          <w:b/>
          <w:color w:val="0D0D0D" w:themeColor="text1" w:themeTint="F2"/>
          <w:sz w:val="24"/>
          <w:szCs w:val="18"/>
          <w:lang w:eastAsia="en-IN"/>
        </w:rPr>
        <w:t>Regulation (EU) 2017/746</w:t>
      </w:r>
      <w:r w:rsidRPr="00BC232D">
        <w:rPr>
          <w:rFonts w:eastAsia="Times New Roman" w:cstheme="minorHAnsi"/>
          <w:color w:val="0D0D0D" w:themeColor="text1" w:themeTint="F2"/>
          <w:sz w:val="24"/>
          <w:szCs w:val="18"/>
          <w:lang w:eastAsia="en-IN"/>
        </w:rPr>
        <w:t> of the European Parliament and of the Council of 5 April 2017 on in vitro diagnostic medical devices and repealing Directive 98/79/EC and Commission Decision 2010/227/EU</w:t>
      </w:r>
    </w:p>
    <w:p w:rsidR="003102BA" w:rsidRPr="00BC232D" w:rsidRDefault="003102BA" w:rsidP="003B6633">
      <w:pPr>
        <w:jc w:val="both"/>
        <w:rPr>
          <w:rFonts w:cstheme="minorHAnsi"/>
          <w:color w:val="303735"/>
          <w:sz w:val="24"/>
          <w:szCs w:val="24"/>
          <w:shd w:val="clear" w:color="auto" w:fill="FFFFFF"/>
        </w:rPr>
      </w:pPr>
    </w:p>
    <w:p w:rsidR="003102BA" w:rsidRPr="00BC232D" w:rsidRDefault="003102BA" w:rsidP="003B6633">
      <w:pPr>
        <w:pStyle w:val="ListParagraph"/>
        <w:numPr>
          <w:ilvl w:val="0"/>
          <w:numId w:val="10"/>
        </w:numPr>
        <w:jc w:val="both"/>
        <w:rPr>
          <w:rFonts w:cstheme="minorHAnsi"/>
          <w:color w:val="202124"/>
          <w:sz w:val="24"/>
          <w:szCs w:val="24"/>
          <w:shd w:val="clear" w:color="auto" w:fill="FFFFFF"/>
        </w:rPr>
      </w:pPr>
      <w:r w:rsidRPr="00BC232D">
        <w:rPr>
          <w:rFonts w:cstheme="minorHAnsi"/>
          <w:b/>
          <w:color w:val="303735"/>
          <w:sz w:val="24"/>
          <w:szCs w:val="24"/>
          <w:shd w:val="clear" w:color="auto" w:fill="FFFFFF"/>
        </w:rPr>
        <w:t xml:space="preserve">MDR </w:t>
      </w:r>
      <w:r w:rsidRPr="00BC232D">
        <w:rPr>
          <w:rFonts w:cstheme="minorHAnsi"/>
          <w:color w:val="303735"/>
          <w:sz w:val="24"/>
          <w:szCs w:val="24"/>
          <w:shd w:val="clear" w:color="auto" w:fill="FFFFFF"/>
        </w:rPr>
        <w:t xml:space="preserve">- </w:t>
      </w:r>
      <w:r w:rsidRPr="00BC232D">
        <w:rPr>
          <w:rFonts w:cstheme="minorHAnsi"/>
          <w:b/>
          <w:bCs/>
          <w:color w:val="202124"/>
          <w:sz w:val="24"/>
          <w:szCs w:val="24"/>
          <w:shd w:val="clear" w:color="auto" w:fill="FFFFFF"/>
        </w:rPr>
        <w:t>Medical Device</w:t>
      </w:r>
      <w:r w:rsidRPr="00BC232D">
        <w:rPr>
          <w:rFonts w:cstheme="minorHAnsi"/>
          <w:color w:val="202124"/>
          <w:sz w:val="24"/>
          <w:szCs w:val="24"/>
          <w:shd w:val="clear" w:color="auto" w:fill="FFFFFF"/>
        </w:rPr>
        <w:t> Reporting (</w:t>
      </w:r>
      <w:r w:rsidRPr="00BC232D">
        <w:rPr>
          <w:rFonts w:cstheme="minorHAnsi"/>
          <w:b/>
          <w:bCs/>
          <w:color w:val="202124"/>
          <w:sz w:val="24"/>
          <w:szCs w:val="24"/>
          <w:shd w:val="clear" w:color="auto" w:fill="FFFFFF"/>
        </w:rPr>
        <w:t>MDR</w:t>
      </w:r>
      <w:r w:rsidRPr="00BC232D">
        <w:rPr>
          <w:rFonts w:cstheme="minorHAnsi"/>
          <w:color w:val="202124"/>
          <w:sz w:val="24"/>
          <w:szCs w:val="24"/>
          <w:shd w:val="clear" w:color="auto" w:fill="FFFFFF"/>
        </w:rPr>
        <w:t>) is one of the post market surveillance tools the FDA uses to monitor </w:t>
      </w:r>
      <w:r w:rsidRPr="00BC232D">
        <w:rPr>
          <w:rFonts w:cstheme="minorHAnsi"/>
          <w:bCs/>
          <w:color w:val="202124"/>
          <w:sz w:val="24"/>
          <w:szCs w:val="24"/>
          <w:shd w:val="clear" w:color="auto" w:fill="FFFFFF"/>
        </w:rPr>
        <w:t>device</w:t>
      </w:r>
      <w:r w:rsidRPr="00BC232D">
        <w:rPr>
          <w:rFonts w:cstheme="minorHAnsi"/>
          <w:color w:val="202124"/>
          <w:sz w:val="24"/>
          <w:szCs w:val="24"/>
          <w:shd w:val="clear" w:color="auto" w:fill="FFFFFF"/>
        </w:rPr>
        <w:t> performance, detect potential </w:t>
      </w:r>
      <w:r w:rsidRPr="00BC232D">
        <w:rPr>
          <w:rFonts w:cstheme="minorHAnsi"/>
          <w:bCs/>
          <w:color w:val="202124"/>
          <w:sz w:val="24"/>
          <w:szCs w:val="24"/>
          <w:shd w:val="clear" w:color="auto" w:fill="FFFFFF"/>
        </w:rPr>
        <w:t>device</w:t>
      </w:r>
      <w:r w:rsidRPr="00BC232D">
        <w:rPr>
          <w:rFonts w:cstheme="minorHAnsi"/>
          <w:color w:val="202124"/>
          <w:sz w:val="24"/>
          <w:szCs w:val="24"/>
          <w:shd w:val="clear" w:color="auto" w:fill="FFFFFF"/>
        </w:rPr>
        <w:t>-related safety issues, and contribute to benefit-risk assessments of these product.</w:t>
      </w:r>
    </w:p>
    <w:p w:rsidR="003102BA" w:rsidRPr="00BC232D" w:rsidRDefault="003102BA" w:rsidP="003B6633">
      <w:pPr>
        <w:pStyle w:val="ListParagraph"/>
        <w:numPr>
          <w:ilvl w:val="0"/>
          <w:numId w:val="10"/>
        </w:numPr>
        <w:jc w:val="both"/>
        <w:rPr>
          <w:rFonts w:cstheme="minorHAnsi"/>
          <w:color w:val="202124"/>
          <w:sz w:val="24"/>
          <w:szCs w:val="24"/>
          <w:shd w:val="clear" w:color="auto" w:fill="FFFFFF"/>
        </w:rPr>
      </w:pPr>
      <w:r w:rsidRPr="00BC232D">
        <w:rPr>
          <w:rFonts w:cstheme="minorHAnsi"/>
          <w:b/>
          <w:bCs/>
          <w:color w:val="202124"/>
          <w:sz w:val="24"/>
          <w:szCs w:val="24"/>
          <w:shd w:val="clear" w:color="auto" w:fill="FFFFFF"/>
        </w:rPr>
        <w:t>MEDDEV stands for</w:t>
      </w:r>
      <w:r w:rsidRPr="00BC232D">
        <w:rPr>
          <w:rFonts w:cstheme="minorHAnsi"/>
          <w:color w:val="202124"/>
          <w:sz w:val="24"/>
          <w:szCs w:val="24"/>
          <w:shd w:val="clear" w:color="auto" w:fill="FFFFFF"/>
        </w:rPr>
        <w:t> </w:t>
      </w:r>
      <w:proofErr w:type="spellStart"/>
      <w:r w:rsidRPr="00BC232D">
        <w:rPr>
          <w:rFonts w:cstheme="minorHAnsi"/>
          <w:color w:val="202124"/>
          <w:sz w:val="24"/>
          <w:szCs w:val="24"/>
          <w:shd w:val="clear" w:color="auto" w:fill="FFFFFF"/>
        </w:rPr>
        <w:t>MEDical</w:t>
      </w:r>
      <w:proofErr w:type="spellEnd"/>
      <w:r w:rsidRPr="00BC232D">
        <w:rPr>
          <w:rFonts w:cstheme="minorHAnsi"/>
          <w:color w:val="202124"/>
          <w:sz w:val="24"/>
          <w:szCs w:val="24"/>
          <w:shd w:val="clear" w:color="auto" w:fill="FFFFFF"/>
        </w:rPr>
        <w:t xml:space="preserve"> </w:t>
      </w:r>
      <w:proofErr w:type="spellStart"/>
      <w:r w:rsidRPr="00BC232D">
        <w:rPr>
          <w:rFonts w:cstheme="minorHAnsi"/>
          <w:color w:val="202124"/>
          <w:sz w:val="24"/>
          <w:szCs w:val="24"/>
          <w:shd w:val="clear" w:color="auto" w:fill="FFFFFF"/>
        </w:rPr>
        <w:t>DEVices</w:t>
      </w:r>
      <w:proofErr w:type="spellEnd"/>
      <w:r w:rsidRPr="00BC232D">
        <w:rPr>
          <w:rFonts w:cstheme="minorHAnsi"/>
          <w:color w:val="202124"/>
          <w:sz w:val="24"/>
          <w:szCs w:val="24"/>
          <w:shd w:val="clear" w:color="auto" w:fill="FFFFFF"/>
        </w:rPr>
        <w:t xml:space="preserve"> Documents - The </w:t>
      </w:r>
      <w:r w:rsidRPr="00BC232D">
        <w:rPr>
          <w:rFonts w:cstheme="minorHAnsi"/>
          <w:bCs/>
          <w:color w:val="202124"/>
          <w:sz w:val="24"/>
          <w:szCs w:val="24"/>
          <w:shd w:val="clear" w:color="auto" w:fill="FFFFFF"/>
        </w:rPr>
        <w:t>MEDDEV</w:t>
      </w:r>
      <w:r w:rsidRPr="00BC232D">
        <w:rPr>
          <w:rFonts w:cstheme="minorHAnsi"/>
          <w:color w:val="202124"/>
          <w:sz w:val="24"/>
          <w:szCs w:val="24"/>
          <w:shd w:val="clear" w:color="auto" w:fill="FFFFFF"/>
        </w:rPr>
        <w:t> Guidance Documents are developed by various working groups on behalf of the European Commission to assist stakeholders in implementing directives related to medical devices.</w:t>
      </w:r>
    </w:p>
    <w:p w:rsidR="003102BA" w:rsidRPr="00BC232D" w:rsidRDefault="003102BA" w:rsidP="003B6633">
      <w:pPr>
        <w:pStyle w:val="ListParagraph"/>
        <w:numPr>
          <w:ilvl w:val="0"/>
          <w:numId w:val="10"/>
        </w:numPr>
        <w:jc w:val="both"/>
        <w:rPr>
          <w:rFonts w:cstheme="minorHAnsi"/>
          <w:color w:val="202124"/>
          <w:sz w:val="24"/>
          <w:szCs w:val="24"/>
          <w:shd w:val="clear" w:color="auto" w:fill="FFFFFF"/>
        </w:rPr>
      </w:pPr>
      <w:r w:rsidRPr="00BC232D">
        <w:rPr>
          <w:rFonts w:cstheme="minorHAnsi"/>
          <w:b/>
          <w:bCs/>
          <w:color w:val="202124"/>
          <w:sz w:val="24"/>
          <w:szCs w:val="24"/>
          <w:shd w:val="clear" w:color="auto" w:fill="FFFFFF"/>
        </w:rPr>
        <w:t>Advantages :</w:t>
      </w:r>
    </w:p>
    <w:p w:rsidR="003102BA" w:rsidRPr="00BC232D" w:rsidRDefault="003102BA" w:rsidP="003B6633">
      <w:pPr>
        <w:pStyle w:val="ListParagraph"/>
        <w:jc w:val="both"/>
        <w:rPr>
          <w:rFonts w:eastAsia="Times New Roman" w:cstheme="minorHAnsi"/>
          <w:color w:val="333333"/>
          <w:sz w:val="26"/>
          <w:szCs w:val="26"/>
          <w:lang w:eastAsia="en-IN"/>
        </w:rPr>
      </w:pPr>
      <w:r w:rsidRPr="00BC232D">
        <w:rPr>
          <w:rFonts w:eastAsia="Times New Roman" w:cstheme="minorHAnsi"/>
          <w:color w:val="333333"/>
          <w:sz w:val="26"/>
          <w:szCs w:val="26"/>
          <w:lang w:eastAsia="en-IN"/>
        </w:rPr>
        <w:t>- The reinforcement of the rules on clinical data and clinical studies on devices.</w:t>
      </w:r>
    </w:p>
    <w:p w:rsidR="003102BA" w:rsidRPr="00BC232D" w:rsidRDefault="003102BA" w:rsidP="003B6633">
      <w:pPr>
        <w:pStyle w:val="ListParagraph"/>
        <w:jc w:val="both"/>
        <w:rPr>
          <w:rFonts w:eastAsia="Times New Roman" w:cstheme="minorHAnsi"/>
          <w:color w:val="333333"/>
          <w:sz w:val="26"/>
          <w:szCs w:val="26"/>
          <w:lang w:eastAsia="en-IN"/>
        </w:rPr>
      </w:pPr>
      <w:r w:rsidRPr="00BC232D">
        <w:rPr>
          <w:rFonts w:eastAsia="Times New Roman" w:cstheme="minorHAnsi"/>
          <w:color w:val="333333"/>
          <w:sz w:val="26"/>
          <w:szCs w:val="26"/>
          <w:lang w:eastAsia="en-IN"/>
        </w:rPr>
        <w:t xml:space="preserve">- </w:t>
      </w:r>
      <w:r w:rsidRPr="003102BA">
        <w:rPr>
          <w:rFonts w:eastAsia="Times New Roman" w:cstheme="minorHAnsi"/>
          <w:color w:val="333333"/>
          <w:sz w:val="26"/>
          <w:szCs w:val="26"/>
          <w:lang w:eastAsia="en-IN"/>
        </w:rPr>
        <w:t>Manufacturers to collect data about the real-life use of their devices</w:t>
      </w:r>
      <w:r w:rsidRPr="00BC232D">
        <w:rPr>
          <w:rFonts w:eastAsia="Times New Roman" w:cstheme="minorHAnsi"/>
          <w:color w:val="333333"/>
          <w:sz w:val="26"/>
          <w:szCs w:val="26"/>
          <w:lang w:eastAsia="en-IN"/>
        </w:rPr>
        <w:t>.</w:t>
      </w:r>
    </w:p>
    <w:p w:rsidR="003102BA" w:rsidRPr="00BC232D" w:rsidRDefault="003102BA" w:rsidP="003B6633">
      <w:pPr>
        <w:pStyle w:val="ListParagraph"/>
        <w:jc w:val="both"/>
        <w:rPr>
          <w:rFonts w:eastAsia="Times New Roman" w:cstheme="minorHAnsi"/>
          <w:color w:val="333333"/>
          <w:sz w:val="26"/>
          <w:szCs w:val="26"/>
          <w:lang w:eastAsia="en-IN"/>
        </w:rPr>
      </w:pPr>
      <w:r w:rsidRPr="00BC232D">
        <w:rPr>
          <w:rFonts w:eastAsia="Times New Roman" w:cstheme="minorHAnsi"/>
          <w:color w:val="333333"/>
          <w:sz w:val="26"/>
          <w:szCs w:val="26"/>
          <w:lang w:eastAsia="en-IN"/>
        </w:rPr>
        <w:t xml:space="preserve">- </w:t>
      </w:r>
      <w:r w:rsidRPr="003102BA">
        <w:rPr>
          <w:rFonts w:eastAsia="Times New Roman" w:cstheme="minorHAnsi"/>
          <w:color w:val="333333"/>
          <w:sz w:val="26"/>
          <w:szCs w:val="26"/>
          <w:lang w:eastAsia="en-IN"/>
        </w:rPr>
        <w:t>Improved coordination between EU Member States</w:t>
      </w:r>
      <w:r w:rsidRPr="00BC232D">
        <w:rPr>
          <w:rFonts w:eastAsia="Times New Roman" w:cstheme="minorHAnsi"/>
          <w:color w:val="333333"/>
          <w:sz w:val="26"/>
          <w:szCs w:val="26"/>
          <w:lang w:eastAsia="en-IN"/>
        </w:rPr>
        <w:t>.</w:t>
      </w:r>
    </w:p>
    <w:p w:rsidR="003102BA" w:rsidRPr="00BC232D" w:rsidRDefault="003102BA" w:rsidP="003B6633">
      <w:pPr>
        <w:pStyle w:val="ListParagraph"/>
        <w:jc w:val="both"/>
        <w:rPr>
          <w:rFonts w:eastAsia="Times New Roman" w:cstheme="minorHAnsi"/>
          <w:color w:val="333333"/>
          <w:sz w:val="26"/>
          <w:szCs w:val="26"/>
          <w:lang w:eastAsia="en-IN"/>
        </w:rPr>
      </w:pPr>
      <w:r w:rsidRPr="00BC232D">
        <w:rPr>
          <w:rFonts w:eastAsia="Times New Roman" w:cstheme="minorHAnsi"/>
          <w:color w:val="333333"/>
          <w:sz w:val="26"/>
          <w:szCs w:val="26"/>
          <w:lang w:eastAsia="en-IN"/>
        </w:rPr>
        <w:t>- Device traceability through the supply chain from its manufacturer through to the final user.</w:t>
      </w:r>
    </w:p>
    <w:p w:rsidR="003102BA" w:rsidRPr="00BC232D" w:rsidRDefault="003102BA" w:rsidP="003B6633">
      <w:pPr>
        <w:jc w:val="both"/>
        <w:rPr>
          <w:rFonts w:cstheme="minorHAnsi"/>
          <w:b/>
          <w:sz w:val="28"/>
          <w:szCs w:val="28"/>
          <w:u w:val="single"/>
        </w:rPr>
      </w:pPr>
    </w:p>
    <w:p w:rsidR="00EB4F8B" w:rsidRPr="00BC232D" w:rsidRDefault="000447FB" w:rsidP="003B6633">
      <w:pPr>
        <w:jc w:val="both"/>
        <w:rPr>
          <w:rFonts w:cstheme="minorHAnsi"/>
          <w:b/>
          <w:sz w:val="28"/>
          <w:szCs w:val="28"/>
          <w:u w:val="single"/>
        </w:rPr>
      </w:pPr>
      <w:r w:rsidRPr="00BC232D">
        <w:rPr>
          <w:rFonts w:cstheme="minorHAnsi"/>
          <w:b/>
          <w:sz w:val="28"/>
          <w:szCs w:val="28"/>
          <w:u w:val="single"/>
        </w:rPr>
        <w:lastRenderedPageBreak/>
        <w:t>FDA pre-market &amp; post-market cyber</w:t>
      </w:r>
      <w:r w:rsidR="008363A9" w:rsidRPr="00BC232D">
        <w:rPr>
          <w:rFonts w:cstheme="minorHAnsi"/>
          <w:b/>
          <w:sz w:val="28"/>
          <w:szCs w:val="28"/>
          <w:u w:val="single"/>
        </w:rPr>
        <w:t xml:space="preserve"> </w:t>
      </w:r>
      <w:r w:rsidRPr="00BC232D">
        <w:rPr>
          <w:rFonts w:cstheme="minorHAnsi"/>
          <w:b/>
          <w:sz w:val="28"/>
          <w:szCs w:val="28"/>
          <w:u w:val="single"/>
        </w:rPr>
        <w:t>security guidelines</w:t>
      </w:r>
    </w:p>
    <w:p w:rsidR="000447FB" w:rsidRPr="00BC232D" w:rsidRDefault="000447FB" w:rsidP="003B6633">
      <w:pPr>
        <w:pStyle w:val="ListParagraph"/>
        <w:numPr>
          <w:ilvl w:val="0"/>
          <w:numId w:val="2"/>
        </w:numPr>
        <w:jc w:val="both"/>
        <w:rPr>
          <w:rFonts w:cstheme="minorHAnsi"/>
          <w:sz w:val="24"/>
        </w:rPr>
      </w:pPr>
      <w:r w:rsidRPr="00BC232D">
        <w:rPr>
          <w:rFonts w:cstheme="minorHAnsi"/>
          <w:sz w:val="24"/>
        </w:rPr>
        <w:t>This guidance represents the current thinking of the Food and Drug Administration.</w:t>
      </w:r>
    </w:p>
    <w:p w:rsidR="000447FB" w:rsidRPr="00BC232D" w:rsidRDefault="000447FB" w:rsidP="003B6633">
      <w:pPr>
        <w:pStyle w:val="ListParagraph"/>
        <w:numPr>
          <w:ilvl w:val="0"/>
          <w:numId w:val="2"/>
        </w:numPr>
        <w:jc w:val="both"/>
        <w:rPr>
          <w:rFonts w:cstheme="minorHAnsi"/>
          <w:sz w:val="24"/>
        </w:rPr>
      </w:pPr>
      <w:r w:rsidRPr="00BC232D">
        <w:rPr>
          <w:rFonts w:cstheme="minorHAnsi"/>
          <w:sz w:val="24"/>
        </w:rPr>
        <w:t>It does not establish any rights for any person and is not binding on FDA or the public.</w:t>
      </w:r>
    </w:p>
    <w:p w:rsidR="000447FB" w:rsidRPr="00BC232D" w:rsidRDefault="000447FB" w:rsidP="003B6633">
      <w:pPr>
        <w:pStyle w:val="ListParagraph"/>
        <w:numPr>
          <w:ilvl w:val="0"/>
          <w:numId w:val="2"/>
        </w:numPr>
        <w:jc w:val="both"/>
        <w:rPr>
          <w:rFonts w:cstheme="minorHAnsi"/>
          <w:sz w:val="24"/>
        </w:rPr>
      </w:pPr>
      <w:r w:rsidRPr="00BC232D">
        <w:rPr>
          <w:rFonts w:cstheme="minorHAnsi"/>
          <w:sz w:val="24"/>
        </w:rPr>
        <w:t>We can use an alternative approach if it satisfies the requirements of the applicable statutes and regulations.</w:t>
      </w:r>
    </w:p>
    <w:p w:rsidR="000447FB" w:rsidRPr="00BC232D" w:rsidRDefault="000447FB" w:rsidP="003B6633">
      <w:pPr>
        <w:pStyle w:val="ListParagraph"/>
        <w:numPr>
          <w:ilvl w:val="0"/>
          <w:numId w:val="2"/>
        </w:numPr>
        <w:jc w:val="both"/>
        <w:rPr>
          <w:rFonts w:cstheme="minorHAnsi"/>
        </w:rPr>
      </w:pPr>
      <w:r w:rsidRPr="00BC232D">
        <w:rPr>
          <w:rFonts w:cstheme="minorHAnsi"/>
          <w:sz w:val="24"/>
        </w:rPr>
        <w:t>This guidance clarifies FDA’s post</w:t>
      </w:r>
      <w:r w:rsidR="008363A9" w:rsidRPr="00BC232D">
        <w:rPr>
          <w:rFonts w:cstheme="minorHAnsi"/>
          <w:sz w:val="24"/>
        </w:rPr>
        <w:t xml:space="preserve"> </w:t>
      </w:r>
      <w:r w:rsidRPr="00BC232D">
        <w:rPr>
          <w:rFonts w:cstheme="minorHAnsi"/>
          <w:sz w:val="24"/>
        </w:rPr>
        <w:t>market recommendations and emphasizes that manufacturers should monitor, identify, and address cyber</w:t>
      </w:r>
      <w:r w:rsidR="008363A9" w:rsidRPr="00BC232D">
        <w:rPr>
          <w:rFonts w:cstheme="minorHAnsi"/>
          <w:sz w:val="24"/>
        </w:rPr>
        <w:t xml:space="preserve"> </w:t>
      </w:r>
      <w:r w:rsidRPr="00BC232D">
        <w:rPr>
          <w:rFonts w:cstheme="minorHAnsi"/>
          <w:sz w:val="24"/>
        </w:rPr>
        <w:t>security vulnerabilities and exploits as part of their post</w:t>
      </w:r>
      <w:r w:rsidR="008363A9" w:rsidRPr="00BC232D">
        <w:rPr>
          <w:rFonts w:cstheme="minorHAnsi"/>
          <w:sz w:val="24"/>
        </w:rPr>
        <w:t xml:space="preserve"> </w:t>
      </w:r>
      <w:r w:rsidRPr="00BC232D">
        <w:rPr>
          <w:rFonts w:cstheme="minorHAnsi"/>
          <w:sz w:val="24"/>
        </w:rPr>
        <w:t>market management of medical devices</w:t>
      </w:r>
      <w:r w:rsidRPr="00BC232D">
        <w:rPr>
          <w:rFonts w:cstheme="minorHAnsi"/>
        </w:rPr>
        <w:t>.</w:t>
      </w:r>
    </w:p>
    <w:p w:rsidR="000447FB" w:rsidRPr="00BC232D" w:rsidRDefault="000447FB" w:rsidP="003B6633">
      <w:pPr>
        <w:jc w:val="both"/>
        <w:rPr>
          <w:rFonts w:cstheme="minorHAnsi"/>
          <w:b/>
          <w:sz w:val="28"/>
        </w:rPr>
      </w:pPr>
      <w:r w:rsidRPr="00BC232D">
        <w:rPr>
          <w:rFonts w:cstheme="minorHAnsi"/>
          <w:b/>
          <w:sz w:val="28"/>
        </w:rPr>
        <w:t>Definitions</w:t>
      </w:r>
    </w:p>
    <w:p w:rsidR="008363A9" w:rsidRPr="00BC232D" w:rsidRDefault="000447FB" w:rsidP="003B6633">
      <w:pPr>
        <w:jc w:val="both"/>
        <w:rPr>
          <w:rFonts w:cstheme="minorHAnsi"/>
          <w:sz w:val="24"/>
          <w:szCs w:val="24"/>
        </w:rPr>
      </w:pPr>
      <w:r w:rsidRPr="00BC232D">
        <w:rPr>
          <w:rFonts w:cstheme="minorHAnsi"/>
          <w:b/>
          <w:sz w:val="24"/>
          <w:szCs w:val="24"/>
        </w:rPr>
        <w:t xml:space="preserve"> </w:t>
      </w:r>
      <w:r w:rsidRPr="00BC232D">
        <w:rPr>
          <w:rFonts w:cstheme="minorHAnsi"/>
          <w:sz w:val="24"/>
          <w:szCs w:val="24"/>
        </w:rPr>
        <w:t>For the purposes of this guidance, the following definitions are used:</w:t>
      </w:r>
    </w:p>
    <w:p w:rsidR="008363A9" w:rsidRPr="00BC232D" w:rsidRDefault="000447FB" w:rsidP="003B6633">
      <w:pPr>
        <w:pStyle w:val="ListParagraph"/>
        <w:numPr>
          <w:ilvl w:val="0"/>
          <w:numId w:val="4"/>
        </w:numPr>
        <w:jc w:val="both"/>
        <w:rPr>
          <w:rFonts w:cstheme="minorHAnsi"/>
          <w:sz w:val="24"/>
          <w:szCs w:val="24"/>
        </w:rPr>
      </w:pPr>
      <w:r w:rsidRPr="00BC232D">
        <w:rPr>
          <w:rFonts w:cstheme="minorHAnsi"/>
          <w:b/>
          <w:sz w:val="24"/>
          <w:szCs w:val="24"/>
        </w:rPr>
        <w:t>Compensating Controls:</w:t>
      </w:r>
      <w:r w:rsidRPr="00BC232D">
        <w:rPr>
          <w:rFonts w:cstheme="minorHAnsi"/>
          <w:sz w:val="24"/>
          <w:szCs w:val="24"/>
        </w:rPr>
        <w:t xml:space="preserve"> A cyber security compensating control is a safegu</w:t>
      </w:r>
      <w:r w:rsidR="008363A9" w:rsidRPr="00BC232D">
        <w:rPr>
          <w:rFonts w:cstheme="minorHAnsi"/>
          <w:sz w:val="24"/>
          <w:szCs w:val="24"/>
        </w:rPr>
        <w:t xml:space="preserve">ard or countermeasure deployed in replacement </w:t>
      </w:r>
      <w:r w:rsidRPr="00BC232D">
        <w:rPr>
          <w:rFonts w:cstheme="minorHAnsi"/>
          <w:sz w:val="24"/>
          <w:szCs w:val="24"/>
        </w:rPr>
        <w:t>or in the</w:t>
      </w:r>
      <w:r w:rsidR="008363A9" w:rsidRPr="00BC232D">
        <w:rPr>
          <w:rFonts w:cstheme="minorHAnsi"/>
          <w:sz w:val="24"/>
          <w:szCs w:val="24"/>
        </w:rPr>
        <w:t xml:space="preserve"> absence of controls designed</w:t>
      </w:r>
      <w:r w:rsidRPr="00BC232D">
        <w:rPr>
          <w:rFonts w:cstheme="minorHAnsi"/>
          <w:sz w:val="24"/>
          <w:szCs w:val="24"/>
        </w:rPr>
        <w:t xml:space="preserve"> by a device manufacturer.</w:t>
      </w:r>
    </w:p>
    <w:p w:rsidR="00EB4F8B" w:rsidRPr="00BC232D" w:rsidRDefault="000447FB" w:rsidP="003B6633">
      <w:pPr>
        <w:ind w:left="765"/>
        <w:jc w:val="both"/>
        <w:rPr>
          <w:rFonts w:cstheme="minorHAnsi"/>
          <w:sz w:val="24"/>
          <w:szCs w:val="24"/>
        </w:rPr>
      </w:pPr>
      <w:r w:rsidRPr="00BC232D">
        <w:rPr>
          <w:rFonts w:cstheme="minorHAnsi"/>
          <w:sz w:val="24"/>
          <w:szCs w:val="24"/>
        </w:rPr>
        <w:t xml:space="preserve">These controls are external to the device design, configurable in the field, employed by a user, and provide supplementary or comparable cyber </w:t>
      </w:r>
      <w:r w:rsidR="008363A9" w:rsidRPr="00BC232D">
        <w:rPr>
          <w:rFonts w:cstheme="minorHAnsi"/>
          <w:sz w:val="24"/>
          <w:szCs w:val="24"/>
        </w:rPr>
        <w:t>protection for a medical device.</w:t>
      </w:r>
    </w:p>
    <w:p w:rsidR="008363A9" w:rsidRPr="00BC232D" w:rsidRDefault="008363A9" w:rsidP="003B6633">
      <w:pPr>
        <w:pStyle w:val="ListParagraph"/>
        <w:numPr>
          <w:ilvl w:val="0"/>
          <w:numId w:val="4"/>
        </w:numPr>
        <w:jc w:val="both"/>
        <w:rPr>
          <w:rFonts w:cstheme="minorHAnsi"/>
          <w:sz w:val="24"/>
          <w:szCs w:val="24"/>
        </w:rPr>
      </w:pPr>
      <w:r w:rsidRPr="00BC232D">
        <w:rPr>
          <w:rFonts w:cstheme="minorHAnsi"/>
          <w:b/>
          <w:sz w:val="24"/>
          <w:szCs w:val="24"/>
        </w:rPr>
        <w:t xml:space="preserve">Controlled Risk: </w:t>
      </w:r>
      <w:r w:rsidRPr="00BC232D">
        <w:rPr>
          <w:rFonts w:cstheme="minorHAnsi"/>
          <w:sz w:val="24"/>
          <w:szCs w:val="24"/>
        </w:rPr>
        <w:t xml:space="preserve"> Controlled risk is present when there is sufficiently low risk of patient harm due to a device’s particular cyber security vulnerability.</w:t>
      </w:r>
    </w:p>
    <w:p w:rsidR="008363A9" w:rsidRPr="00BC232D" w:rsidRDefault="008363A9" w:rsidP="003B6633">
      <w:pPr>
        <w:pStyle w:val="ListParagraph"/>
        <w:numPr>
          <w:ilvl w:val="0"/>
          <w:numId w:val="4"/>
        </w:numPr>
        <w:jc w:val="both"/>
        <w:rPr>
          <w:rFonts w:cstheme="minorHAnsi"/>
          <w:sz w:val="24"/>
          <w:szCs w:val="24"/>
        </w:rPr>
      </w:pPr>
      <w:r w:rsidRPr="00BC232D">
        <w:rPr>
          <w:rFonts w:cstheme="minorHAnsi"/>
          <w:b/>
          <w:sz w:val="24"/>
          <w:szCs w:val="24"/>
        </w:rPr>
        <w:t xml:space="preserve">Cyber security Routine Updates and Patches: </w:t>
      </w:r>
      <w:r w:rsidRPr="00BC232D">
        <w:rPr>
          <w:rFonts w:cstheme="minorHAnsi"/>
          <w:sz w:val="24"/>
          <w:szCs w:val="24"/>
        </w:rPr>
        <w:t>Cyber security “routine updates and patches” are changes to a device to increase device security and to restore only those vulnerabilities associated with controlled risk of patient harm.</w:t>
      </w:r>
    </w:p>
    <w:p w:rsidR="008363A9" w:rsidRPr="00BC232D" w:rsidRDefault="008363A9" w:rsidP="003B6633">
      <w:pPr>
        <w:pStyle w:val="ListParagraph"/>
        <w:numPr>
          <w:ilvl w:val="0"/>
          <w:numId w:val="4"/>
        </w:numPr>
        <w:jc w:val="both"/>
        <w:rPr>
          <w:rFonts w:cstheme="minorHAnsi"/>
          <w:sz w:val="24"/>
          <w:szCs w:val="24"/>
        </w:rPr>
      </w:pPr>
      <w:r w:rsidRPr="00BC232D">
        <w:rPr>
          <w:rFonts w:cstheme="minorHAnsi"/>
          <w:b/>
          <w:sz w:val="24"/>
          <w:szCs w:val="24"/>
        </w:rPr>
        <w:t xml:space="preserve">Cyber security Signal: </w:t>
      </w:r>
      <w:r w:rsidRPr="00BC232D">
        <w:rPr>
          <w:rFonts w:cstheme="minorHAnsi"/>
          <w:sz w:val="24"/>
          <w:szCs w:val="24"/>
        </w:rPr>
        <w:t xml:space="preserve">A cyber security signal is any information which indicates the potential for, or confirmation of, a cyber-security vulnerability or exploit that affects, or could affect a medical device. </w:t>
      </w:r>
    </w:p>
    <w:p w:rsidR="008363A9" w:rsidRPr="00BC232D" w:rsidRDefault="008363A9" w:rsidP="003B6633">
      <w:pPr>
        <w:pStyle w:val="ListParagraph"/>
        <w:jc w:val="both"/>
        <w:rPr>
          <w:rFonts w:cstheme="minorHAnsi"/>
          <w:sz w:val="24"/>
          <w:szCs w:val="24"/>
        </w:rPr>
      </w:pPr>
      <w:r w:rsidRPr="00BC232D">
        <w:rPr>
          <w:rFonts w:cstheme="minorHAnsi"/>
          <w:sz w:val="24"/>
          <w:szCs w:val="24"/>
        </w:rPr>
        <w:t xml:space="preserve">A cyber security signal could originate from </w:t>
      </w:r>
    </w:p>
    <w:p w:rsidR="008363A9" w:rsidRPr="00BC232D" w:rsidRDefault="008363A9" w:rsidP="003B6633">
      <w:pPr>
        <w:pStyle w:val="ListParagraph"/>
        <w:jc w:val="both"/>
        <w:rPr>
          <w:rFonts w:cstheme="minorHAnsi"/>
          <w:sz w:val="24"/>
          <w:szCs w:val="24"/>
        </w:rPr>
      </w:pPr>
      <w:r w:rsidRPr="00BC232D">
        <w:rPr>
          <w:rFonts w:cstheme="minorHAnsi"/>
          <w:sz w:val="24"/>
          <w:szCs w:val="24"/>
        </w:rPr>
        <w:t>- Traditional information sources such as internal investigations, post market surveillance</w:t>
      </w:r>
    </w:p>
    <w:p w:rsidR="008363A9" w:rsidRPr="00BC232D" w:rsidRDefault="008363A9" w:rsidP="003B6633">
      <w:pPr>
        <w:pStyle w:val="ListParagraph"/>
        <w:jc w:val="both"/>
        <w:rPr>
          <w:rFonts w:cstheme="minorHAnsi"/>
          <w:sz w:val="24"/>
          <w:szCs w:val="24"/>
        </w:rPr>
      </w:pPr>
      <w:r w:rsidRPr="00BC232D">
        <w:rPr>
          <w:rFonts w:cstheme="minorHAnsi"/>
          <w:sz w:val="24"/>
          <w:szCs w:val="24"/>
        </w:rPr>
        <w:t xml:space="preserve">-  Security-centric sources such as CERTS (Computer/Cyber, Emergency Response/Readiness Teams), such as ICS-CERT 10 13, ISAOs14, threat indicators, and security researchers. </w:t>
      </w:r>
    </w:p>
    <w:p w:rsidR="008363A9" w:rsidRPr="00BC232D" w:rsidRDefault="008363A9" w:rsidP="003B6633">
      <w:pPr>
        <w:pStyle w:val="ListParagraph"/>
        <w:jc w:val="both"/>
        <w:rPr>
          <w:rFonts w:cstheme="minorHAnsi"/>
          <w:sz w:val="24"/>
          <w:szCs w:val="24"/>
        </w:rPr>
      </w:pPr>
      <w:r w:rsidRPr="00BC232D">
        <w:rPr>
          <w:rFonts w:cstheme="minorHAnsi"/>
          <w:sz w:val="24"/>
          <w:szCs w:val="24"/>
        </w:rPr>
        <w:t>- Critical infrastructure sector (e.g., defense, financial) but have the potential to impact medical device cyber security.</w:t>
      </w:r>
    </w:p>
    <w:p w:rsidR="008363A9" w:rsidRPr="00BC232D" w:rsidRDefault="008363A9" w:rsidP="003B6633">
      <w:pPr>
        <w:pStyle w:val="ListParagraph"/>
        <w:numPr>
          <w:ilvl w:val="0"/>
          <w:numId w:val="4"/>
        </w:numPr>
        <w:jc w:val="both"/>
        <w:rPr>
          <w:rFonts w:cstheme="minorHAnsi"/>
          <w:sz w:val="24"/>
          <w:szCs w:val="24"/>
        </w:rPr>
      </w:pPr>
      <w:r w:rsidRPr="00BC232D">
        <w:rPr>
          <w:rFonts w:cstheme="minorHAnsi"/>
          <w:b/>
          <w:sz w:val="24"/>
          <w:szCs w:val="24"/>
        </w:rPr>
        <w:t>Exploit:</w:t>
      </w:r>
      <w:r w:rsidRPr="00BC232D">
        <w:rPr>
          <w:rFonts w:cstheme="minorHAnsi"/>
          <w:sz w:val="24"/>
          <w:szCs w:val="24"/>
        </w:rPr>
        <w:t xml:space="preserve"> An exploit is an i</w:t>
      </w:r>
      <w:r w:rsidR="002117A9" w:rsidRPr="00BC232D">
        <w:rPr>
          <w:rFonts w:cstheme="minorHAnsi"/>
          <w:sz w:val="24"/>
          <w:szCs w:val="24"/>
        </w:rPr>
        <w:t>nstance where a vulnerability/</w:t>
      </w:r>
      <w:r w:rsidRPr="00BC232D">
        <w:rPr>
          <w:rFonts w:cstheme="minorHAnsi"/>
          <w:sz w:val="24"/>
          <w:szCs w:val="24"/>
        </w:rPr>
        <w:t xml:space="preserve">vulnerabilities have been exercised (accidently or intentionally) by a threat and could impact the safety or essential </w:t>
      </w:r>
      <w:r w:rsidR="002117A9" w:rsidRPr="00BC232D">
        <w:rPr>
          <w:rFonts w:cstheme="minorHAnsi"/>
          <w:sz w:val="24"/>
          <w:szCs w:val="24"/>
        </w:rPr>
        <w:t>performance of a medical device.</w:t>
      </w:r>
    </w:p>
    <w:p w:rsidR="002117A9" w:rsidRPr="00BC232D" w:rsidRDefault="002117A9" w:rsidP="003B6633">
      <w:pPr>
        <w:pStyle w:val="ListParagraph"/>
        <w:numPr>
          <w:ilvl w:val="0"/>
          <w:numId w:val="4"/>
        </w:numPr>
        <w:jc w:val="both"/>
        <w:rPr>
          <w:rFonts w:cstheme="minorHAnsi"/>
          <w:sz w:val="24"/>
          <w:szCs w:val="24"/>
        </w:rPr>
      </w:pPr>
      <w:r w:rsidRPr="00BC232D">
        <w:rPr>
          <w:rFonts w:cstheme="minorHAnsi"/>
          <w:b/>
          <w:sz w:val="24"/>
          <w:szCs w:val="24"/>
        </w:rPr>
        <w:t>Patient Harm:</w:t>
      </w:r>
      <w:r w:rsidRPr="00BC232D">
        <w:rPr>
          <w:rFonts w:cstheme="minorHAnsi"/>
          <w:sz w:val="24"/>
          <w:szCs w:val="24"/>
        </w:rPr>
        <w:t xml:space="preserve"> Patient harm is defined as physical injury or damage to the health of patients, including death.</w:t>
      </w:r>
    </w:p>
    <w:p w:rsidR="00EB4F8B" w:rsidRPr="00BC232D" w:rsidRDefault="00EB4F8B" w:rsidP="003B6633">
      <w:pPr>
        <w:pStyle w:val="ListParagraph"/>
        <w:numPr>
          <w:ilvl w:val="0"/>
          <w:numId w:val="4"/>
        </w:numPr>
        <w:jc w:val="both"/>
        <w:rPr>
          <w:rFonts w:cstheme="minorHAnsi"/>
          <w:sz w:val="24"/>
          <w:szCs w:val="24"/>
        </w:rPr>
      </w:pPr>
      <w:r w:rsidRPr="00BC232D">
        <w:rPr>
          <w:rFonts w:cstheme="minorHAnsi"/>
          <w:b/>
          <w:sz w:val="24"/>
          <w:szCs w:val="24"/>
        </w:rPr>
        <w:t xml:space="preserve">Remediation: </w:t>
      </w:r>
      <w:r w:rsidRPr="00BC232D">
        <w:rPr>
          <w:rFonts w:cstheme="minorHAnsi"/>
          <w:sz w:val="24"/>
          <w:szCs w:val="24"/>
        </w:rPr>
        <w:t>Remediation is any action(s) taken to reduce an uncontrolled risk of patient harm posed by a device cyber security vulnerability to an acceptable level.</w:t>
      </w:r>
    </w:p>
    <w:p w:rsidR="00EB4F8B" w:rsidRPr="00BC232D" w:rsidRDefault="00EB4F8B" w:rsidP="003B6633">
      <w:pPr>
        <w:pStyle w:val="ListParagraph"/>
        <w:jc w:val="both"/>
        <w:rPr>
          <w:rFonts w:cstheme="minorHAnsi"/>
          <w:sz w:val="24"/>
          <w:szCs w:val="24"/>
        </w:rPr>
      </w:pPr>
      <w:r w:rsidRPr="00BC232D">
        <w:rPr>
          <w:rFonts w:cstheme="minorHAnsi"/>
          <w:sz w:val="24"/>
          <w:szCs w:val="24"/>
        </w:rPr>
        <w:lastRenderedPageBreak/>
        <w:t xml:space="preserve"> Remediation actions may include complete solutions to remove a cyber-security vulnerability from a medical device or compensating controls that adequately mitigate the risk.</w:t>
      </w:r>
    </w:p>
    <w:p w:rsidR="00EB4F8B" w:rsidRPr="00BC232D" w:rsidRDefault="00EB4F8B" w:rsidP="003B6633">
      <w:pPr>
        <w:pStyle w:val="ListParagraph"/>
        <w:numPr>
          <w:ilvl w:val="0"/>
          <w:numId w:val="4"/>
        </w:numPr>
        <w:jc w:val="both"/>
        <w:rPr>
          <w:rFonts w:cstheme="minorHAnsi"/>
          <w:sz w:val="24"/>
          <w:szCs w:val="24"/>
        </w:rPr>
      </w:pPr>
      <w:r w:rsidRPr="00BC232D">
        <w:rPr>
          <w:rFonts w:cstheme="minorHAnsi"/>
          <w:b/>
          <w:sz w:val="24"/>
          <w:szCs w:val="24"/>
        </w:rPr>
        <w:t xml:space="preserve">Threat: </w:t>
      </w:r>
      <w:r w:rsidRPr="00BC232D">
        <w:rPr>
          <w:rFonts w:cstheme="minorHAnsi"/>
          <w:sz w:val="24"/>
          <w:szCs w:val="24"/>
        </w:rPr>
        <w:t xml:space="preserve"> Threat is any circumstance or event with the potential to adversely impact the device, organizational operations, organizational assets, individuals, or other organizations through an information system via unauthorized access, destruction, disclosure, modification of information, and/or denial of service.</w:t>
      </w:r>
    </w:p>
    <w:p w:rsidR="00EB4F8B" w:rsidRPr="00BC232D" w:rsidRDefault="00EB4F8B" w:rsidP="003B6633">
      <w:pPr>
        <w:pStyle w:val="ListParagraph"/>
        <w:numPr>
          <w:ilvl w:val="0"/>
          <w:numId w:val="4"/>
        </w:numPr>
        <w:jc w:val="both"/>
        <w:rPr>
          <w:rFonts w:cstheme="minorHAnsi"/>
          <w:sz w:val="24"/>
          <w:szCs w:val="24"/>
        </w:rPr>
      </w:pPr>
      <w:r w:rsidRPr="00BC232D">
        <w:rPr>
          <w:rFonts w:cstheme="minorHAnsi"/>
          <w:b/>
          <w:sz w:val="24"/>
          <w:szCs w:val="24"/>
        </w:rPr>
        <w:t xml:space="preserve"> Threat Modelling: </w:t>
      </w:r>
      <w:r w:rsidRPr="00BC232D">
        <w:rPr>
          <w:rFonts w:cstheme="minorHAnsi"/>
          <w:sz w:val="24"/>
          <w:szCs w:val="24"/>
        </w:rPr>
        <w:t>Threat modelling is a methodology for optimizing Network/Application/Internet Security by identifying objectives and vulnerabilities, and then defining countermeasures to prevent, mitigate the effects of, threats to the system.</w:t>
      </w:r>
    </w:p>
    <w:p w:rsidR="00EB4F8B" w:rsidRPr="00BC232D" w:rsidRDefault="00EB4F8B" w:rsidP="003B6633">
      <w:pPr>
        <w:pStyle w:val="ListParagraph"/>
        <w:numPr>
          <w:ilvl w:val="0"/>
          <w:numId w:val="4"/>
        </w:numPr>
        <w:jc w:val="both"/>
        <w:rPr>
          <w:rFonts w:cstheme="minorHAnsi"/>
          <w:sz w:val="24"/>
          <w:szCs w:val="24"/>
        </w:rPr>
      </w:pPr>
      <w:r w:rsidRPr="00BC232D">
        <w:rPr>
          <w:rFonts w:cstheme="minorHAnsi"/>
          <w:b/>
          <w:sz w:val="24"/>
          <w:szCs w:val="24"/>
        </w:rPr>
        <w:t>Uncontrolled Risk</w:t>
      </w:r>
      <w:r w:rsidRPr="00BC232D">
        <w:rPr>
          <w:rFonts w:cstheme="minorHAnsi"/>
          <w:sz w:val="24"/>
          <w:szCs w:val="24"/>
        </w:rPr>
        <w:t xml:space="preserve">: Uncontrolled risk is present when there is unacceptable residual risk of patient harm due to inadequate compensating controls and risk mitigations. </w:t>
      </w:r>
    </w:p>
    <w:p w:rsidR="00EB4F8B" w:rsidRPr="00BC232D" w:rsidRDefault="00EB4F8B" w:rsidP="003B6633">
      <w:pPr>
        <w:pStyle w:val="ListParagraph"/>
        <w:numPr>
          <w:ilvl w:val="0"/>
          <w:numId w:val="4"/>
        </w:numPr>
        <w:jc w:val="both"/>
        <w:rPr>
          <w:rFonts w:cstheme="minorHAnsi"/>
          <w:sz w:val="24"/>
          <w:szCs w:val="24"/>
        </w:rPr>
      </w:pPr>
      <w:r w:rsidRPr="00BC232D">
        <w:rPr>
          <w:rFonts w:cstheme="minorHAnsi"/>
          <w:b/>
          <w:sz w:val="24"/>
          <w:szCs w:val="24"/>
        </w:rPr>
        <w:t>Vulnerability:</w:t>
      </w:r>
      <w:r w:rsidRPr="00BC232D">
        <w:rPr>
          <w:rFonts w:cstheme="minorHAnsi"/>
          <w:sz w:val="24"/>
          <w:szCs w:val="24"/>
        </w:rPr>
        <w:t xml:space="preserve"> A vulnerability is a weakness in an information system, system security procedures, internal controls, human behaviour, or implementation that could be exploited by a threat.</w:t>
      </w:r>
    </w:p>
    <w:p w:rsidR="00EB4F8B" w:rsidRPr="00BC232D" w:rsidRDefault="00EB4F8B" w:rsidP="003B6633">
      <w:pPr>
        <w:jc w:val="both"/>
        <w:rPr>
          <w:rFonts w:cstheme="minorHAnsi"/>
          <w:sz w:val="24"/>
        </w:rPr>
      </w:pPr>
    </w:p>
    <w:p w:rsidR="003102BA" w:rsidRPr="003102BA" w:rsidRDefault="003102BA" w:rsidP="003B6633">
      <w:pPr>
        <w:pStyle w:val="ListParagraph"/>
        <w:jc w:val="both"/>
        <w:rPr>
          <w:rFonts w:cstheme="minorHAnsi"/>
          <w:b/>
          <w:color w:val="202124"/>
          <w:sz w:val="28"/>
          <w:szCs w:val="24"/>
          <w:u w:val="single"/>
          <w:shd w:val="clear" w:color="auto" w:fill="FFFFFF"/>
        </w:rPr>
      </w:pPr>
    </w:p>
    <w:p w:rsidR="003102BA" w:rsidRPr="00BC232D" w:rsidRDefault="003B6633" w:rsidP="003B6633">
      <w:pPr>
        <w:jc w:val="both"/>
        <w:rPr>
          <w:rFonts w:cstheme="minorHAnsi"/>
          <w:b/>
          <w:color w:val="202124"/>
          <w:sz w:val="28"/>
          <w:szCs w:val="28"/>
          <w:u w:val="single"/>
          <w:shd w:val="clear" w:color="auto" w:fill="FFFFFF"/>
        </w:rPr>
      </w:pPr>
      <w:r w:rsidRPr="00BC232D">
        <w:rPr>
          <w:rFonts w:cstheme="minorHAnsi"/>
          <w:b/>
          <w:color w:val="202124"/>
          <w:sz w:val="28"/>
          <w:szCs w:val="28"/>
          <w:u w:val="single"/>
          <w:shd w:val="clear" w:color="auto" w:fill="FFFFFF"/>
        </w:rPr>
        <w:t xml:space="preserve">HIPAA - </w:t>
      </w:r>
      <w:r w:rsidRPr="00BC232D">
        <w:rPr>
          <w:rFonts w:cstheme="minorHAnsi"/>
          <w:b/>
          <w:sz w:val="28"/>
          <w:szCs w:val="28"/>
          <w:u w:val="single"/>
          <w:shd w:val="clear" w:color="auto" w:fill="FFFFFF"/>
        </w:rPr>
        <w:t>Health Insurance Portability and Accountability Act</w:t>
      </w:r>
    </w:p>
    <w:p w:rsidR="00DD7FA8" w:rsidRPr="00BC232D" w:rsidRDefault="00DD7FA8" w:rsidP="00B04481">
      <w:pPr>
        <w:pStyle w:val="ListParagraph"/>
        <w:numPr>
          <w:ilvl w:val="0"/>
          <w:numId w:val="17"/>
        </w:numPr>
        <w:shd w:val="clear" w:color="auto" w:fill="FFFFFF"/>
        <w:spacing w:line="240" w:lineRule="auto"/>
        <w:jc w:val="both"/>
        <w:rPr>
          <w:rFonts w:eastAsia="Times New Roman" w:cstheme="minorHAnsi"/>
          <w:color w:val="202124"/>
          <w:sz w:val="24"/>
          <w:szCs w:val="24"/>
          <w:lang w:eastAsia="en-IN"/>
        </w:rPr>
      </w:pPr>
      <w:r w:rsidRPr="00BC232D">
        <w:rPr>
          <w:rFonts w:cstheme="minorHAnsi"/>
          <w:color w:val="202124"/>
          <w:shd w:val="clear" w:color="auto" w:fill="FFFFFF"/>
        </w:rPr>
        <w:t>The Health Insurance Portability and Accountability Act of 1996 (</w:t>
      </w:r>
      <w:r w:rsidRPr="00BC232D">
        <w:rPr>
          <w:rFonts w:cstheme="minorHAnsi"/>
          <w:b/>
          <w:bCs/>
          <w:color w:val="202124"/>
          <w:shd w:val="clear" w:color="auto" w:fill="FFFFFF"/>
        </w:rPr>
        <w:t>HIPAA</w:t>
      </w:r>
      <w:r w:rsidRPr="00BC232D">
        <w:rPr>
          <w:rFonts w:cstheme="minorHAnsi"/>
          <w:color w:val="202124"/>
          <w:shd w:val="clear" w:color="auto" w:fill="FFFFFF"/>
        </w:rPr>
        <w:t>) is a federal law that required the creation of national standards to protect sensitive patient health information from being disclosed without the patient's consent or knowledge.</w:t>
      </w:r>
    </w:p>
    <w:p w:rsidR="003B6633" w:rsidRPr="00BC232D" w:rsidRDefault="003B6633" w:rsidP="00B04481">
      <w:pPr>
        <w:pStyle w:val="ListParagraph"/>
        <w:numPr>
          <w:ilvl w:val="0"/>
          <w:numId w:val="17"/>
        </w:numPr>
        <w:shd w:val="clear" w:color="auto" w:fill="FFFFFF"/>
        <w:spacing w:line="240" w:lineRule="auto"/>
        <w:jc w:val="both"/>
        <w:rPr>
          <w:rFonts w:eastAsia="Times New Roman" w:cstheme="minorHAnsi"/>
          <w:color w:val="202124"/>
          <w:sz w:val="24"/>
          <w:szCs w:val="24"/>
          <w:lang w:eastAsia="en-IN"/>
        </w:rPr>
      </w:pPr>
      <w:r w:rsidRPr="00BC232D">
        <w:rPr>
          <w:rFonts w:eastAsia="Times New Roman" w:cstheme="minorHAnsi"/>
          <w:b/>
          <w:bCs/>
          <w:color w:val="202124"/>
          <w:sz w:val="24"/>
          <w:szCs w:val="24"/>
          <w:lang w:eastAsia="en-IN"/>
        </w:rPr>
        <w:t>The HIPAA legislation had four primary objectives:</w:t>
      </w:r>
    </w:p>
    <w:p w:rsidR="00B04481" w:rsidRPr="00BC232D" w:rsidRDefault="003B6633" w:rsidP="00B04481">
      <w:pPr>
        <w:pStyle w:val="ListParagraph"/>
        <w:numPr>
          <w:ilvl w:val="0"/>
          <w:numId w:val="16"/>
        </w:numPr>
        <w:shd w:val="clear" w:color="auto" w:fill="FFFFFF"/>
        <w:spacing w:line="240" w:lineRule="auto"/>
        <w:jc w:val="both"/>
        <w:rPr>
          <w:rFonts w:eastAsia="Times New Roman" w:cstheme="minorHAnsi"/>
          <w:color w:val="202124"/>
          <w:sz w:val="24"/>
          <w:szCs w:val="24"/>
          <w:lang w:eastAsia="en-IN"/>
        </w:rPr>
      </w:pPr>
      <w:r w:rsidRPr="00BC232D">
        <w:rPr>
          <w:rFonts w:eastAsia="Times New Roman" w:cstheme="minorHAnsi"/>
          <w:color w:val="202124"/>
          <w:sz w:val="24"/>
          <w:szCs w:val="24"/>
          <w:lang w:eastAsia="en-IN"/>
        </w:rPr>
        <w:t>Assure health insurance portability by eliminating job-lock due to pre-existing medical conditions.</w:t>
      </w:r>
    </w:p>
    <w:p w:rsidR="00B04481" w:rsidRPr="00BC232D" w:rsidRDefault="003B6633" w:rsidP="00B04481">
      <w:pPr>
        <w:pStyle w:val="ListParagraph"/>
        <w:numPr>
          <w:ilvl w:val="0"/>
          <w:numId w:val="16"/>
        </w:numPr>
        <w:shd w:val="clear" w:color="auto" w:fill="FFFFFF"/>
        <w:spacing w:line="240" w:lineRule="auto"/>
        <w:jc w:val="both"/>
        <w:rPr>
          <w:rFonts w:eastAsia="Times New Roman" w:cstheme="minorHAnsi"/>
          <w:color w:val="202124"/>
          <w:sz w:val="24"/>
          <w:szCs w:val="24"/>
          <w:lang w:eastAsia="en-IN"/>
        </w:rPr>
      </w:pPr>
      <w:r w:rsidRPr="00BC232D">
        <w:rPr>
          <w:rFonts w:eastAsia="Times New Roman" w:cstheme="minorHAnsi"/>
          <w:color w:val="202124"/>
          <w:sz w:val="24"/>
          <w:szCs w:val="24"/>
          <w:lang w:eastAsia="en-IN"/>
        </w:rPr>
        <w:t>Reduce healthcare fraud and abuse.</w:t>
      </w:r>
    </w:p>
    <w:p w:rsidR="00B04481" w:rsidRPr="00BC232D" w:rsidRDefault="003B6633" w:rsidP="00B04481">
      <w:pPr>
        <w:pStyle w:val="ListParagraph"/>
        <w:numPr>
          <w:ilvl w:val="0"/>
          <w:numId w:val="16"/>
        </w:numPr>
        <w:shd w:val="clear" w:color="auto" w:fill="FFFFFF"/>
        <w:spacing w:line="240" w:lineRule="auto"/>
        <w:jc w:val="both"/>
        <w:rPr>
          <w:rFonts w:eastAsia="Times New Roman" w:cstheme="minorHAnsi"/>
          <w:color w:val="202124"/>
          <w:sz w:val="24"/>
          <w:szCs w:val="24"/>
          <w:lang w:eastAsia="en-IN"/>
        </w:rPr>
      </w:pPr>
      <w:r w:rsidRPr="00BC232D">
        <w:rPr>
          <w:rFonts w:eastAsia="Times New Roman" w:cstheme="minorHAnsi"/>
          <w:color w:val="202124"/>
          <w:sz w:val="24"/>
          <w:szCs w:val="24"/>
          <w:lang w:eastAsia="en-IN"/>
        </w:rPr>
        <w:t>Enforce standards </w:t>
      </w:r>
      <w:r w:rsidRPr="00BC232D">
        <w:rPr>
          <w:rFonts w:eastAsia="Times New Roman" w:cstheme="minorHAnsi"/>
          <w:bCs/>
          <w:color w:val="202124"/>
          <w:sz w:val="24"/>
          <w:szCs w:val="24"/>
          <w:lang w:eastAsia="en-IN"/>
        </w:rPr>
        <w:t>for</w:t>
      </w:r>
      <w:r w:rsidRPr="00BC232D">
        <w:rPr>
          <w:rFonts w:eastAsia="Times New Roman" w:cstheme="minorHAnsi"/>
          <w:color w:val="202124"/>
          <w:sz w:val="24"/>
          <w:szCs w:val="24"/>
          <w:lang w:eastAsia="en-IN"/>
        </w:rPr>
        <w:t> health information.</w:t>
      </w:r>
    </w:p>
    <w:p w:rsidR="003B6633" w:rsidRPr="00BC232D" w:rsidRDefault="003B6633" w:rsidP="00B04481">
      <w:pPr>
        <w:pStyle w:val="ListParagraph"/>
        <w:numPr>
          <w:ilvl w:val="0"/>
          <w:numId w:val="16"/>
        </w:numPr>
        <w:shd w:val="clear" w:color="auto" w:fill="FFFFFF"/>
        <w:spacing w:line="240" w:lineRule="auto"/>
        <w:jc w:val="both"/>
        <w:rPr>
          <w:rFonts w:eastAsia="Times New Roman" w:cstheme="minorHAnsi"/>
          <w:color w:val="202124"/>
          <w:sz w:val="24"/>
          <w:szCs w:val="24"/>
          <w:lang w:eastAsia="en-IN"/>
        </w:rPr>
      </w:pPr>
      <w:r w:rsidRPr="00BC232D">
        <w:rPr>
          <w:rFonts w:eastAsia="Times New Roman" w:cstheme="minorHAnsi"/>
          <w:color w:val="202124"/>
          <w:sz w:val="24"/>
          <w:szCs w:val="24"/>
          <w:lang w:eastAsia="en-IN"/>
        </w:rPr>
        <w:t>Guarantee security and privacy of health information</w:t>
      </w:r>
    </w:p>
    <w:p w:rsidR="00B04481" w:rsidRPr="00BC232D" w:rsidRDefault="003B6633" w:rsidP="00B04481">
      <w:pPr>
        <w:pStyle w:val="ListParagraph"/>
        <w:numPr>
          <w:ilvl w:val="0"/>
          <w:numId w:val="17"/>
        </w:numPr>
        <w:jc w:val="both"/>
        <w:rPr>
          <w:rFonts w:cstheme="minorHAnsi"/>
          <w:sz w:val="24"/>
        </w:rPr>
      </w:pPr>
      <w:r w:rsidRPr="00BC232D">
        <w:rPr>
          <w:rFonts w:cstheme="minorHAnsi"/>
          <w:color w:val="202124"/>
          <w:shd w:val="clear" w:color="auto" w:fill="FFFFFF"/>
        </w:rPr>
        <w:t>HHS initiated </w:t>
      </w:r>
      <w:r w:rsidRPr="00BC232D">
        <w:rPr>
          <w:rFonts w:cstheme="minorHAnsi"/>
          <w:b/>
          <w:bCs/>
          <w:color w:val="202124"/>
          <w:shd w:val="clear" w:color="auto" w:fill="FFFFFF"/>
        </w:rPr>
        <w:t>5</w:t>
      </w:r>
      <w:r w:rsidRPr="00BC232D">
        <w:rPr>
          <w:rFonts w:cstheme="minorHAnsi"/>
          <w:color w:val="202124"/>
          <w:shd w:val="clear" w:color="auto" w:fill="FFFFFF"/>
        </w:rPr>
        <w:t xml:space="preserve"> rules to enforce Administrative Simplification: </w:t>
      </w:r>
    </w:p>
    <w:p w:rsidR="00B04481" w:rsidRPr="00BC232D" w:rsidRDefault="00B04481" w:rsidP="00B04481">
      <w:pPr>
        <w:pStyle w:val="ListParagraph"/>
        <w:rPr>
          <w:rFonts w:cstheme="minorHAnsi"/>
          <w:color w:val="202124"/>
          <w:shd w:val="clear" w:color="auto" w:fill="FFFFFF"/>
        </w:rPr>
      </w:pPr>
      <w:r w:rsidRPr="00BC232D">
        <w:rPr>
          <w:rFonts w:cstheme="minorHAnsi"/>
          <w:color w:val="202124"/>
          <w:shd w:val="clear" w:color="auto" w:fill="FFFFFF"/>
        </w:rPr>
        <w:t>- Privacy Rule</w:t>
      </w:r>
    </w:p>
    <w:p w:rsidR="00B04481" w:rsidRPr="00BC232D" w:rsidRDefault="00B04481" w:rsidP="00B04481">
      <w:pPr>
        <w:pStyle w:val="ListParagraph"/>
        <w:rPr>
          <w:rFonts w:cstheme="minorHAnsi"/>
          <w:color w:val="202124"/>
          <w:shd w:val="clear" w:color="auto" w:fill="FFFFFF"/>
        </w:rPr>
      </w:pPr>
      <w:r w:rsidRPr="00BC232D">
        <w:rPr>
          <w:rFonts w:cstheme="minorHAnsi"/>
          <w:color w:val="202124"/>
          <w:shd w:val="clear" w:color="auto" w:fill="FFFFFF"/>
        </w:rPr>
        <w:t xml:space="preserve">- </w:t>
      </w:r>
      <w:r w:rsidR="003B6633" w:rsidRPr="00BC232D">
        <w:rPr>
          <w:rFonts w:cstheme="minorHAnsi"/>
          <w:color w:val="202124"/>
          <w:shd w:val="clear" w:color="auto" w:fill="FFFFFF"/>
        </w:rPr>
        <w:t>T</w:t>
      </w:r>
      <w:r w:rsidRPr="00BC232D">
        <w:rPr>
          <w:rFonts w:cstheme="minorHAnsi"/>
          <w:color w:val="202124"/>
          <w:shd w:val="clear" w:color="auto" w:fill="FFFFFF"/>
        </w:rPr>
        <w:t>ransactions and Code Sets Rule</w:t>
      </w:r>
    </w:p>
    <w:p w:rsidR="00B04481" w:rsidRPr="00BC232D" w:rsidRDefault="00B04481" w:rsidP="00B04481">
      <w:pPr>
        <w:pStyle w:val="ListParagraph"/>
        <w:rPr>
          <w:rFonts w:cstheme="minorHAnsi"/>
          <w:color w:val="202124"/>
          <w:shd w:val="clear" w:color="auto" w:fill="FFFFFF"/>
        </w:rPr>
      </w:pPr>
      <w:r w:rsidRPr="00BC232D">
        <w:rPr>
          <w:rFonts w:cstheme="minorHAnsi"/>
          <w:color w:val="202124"/>
          <w:shd w:val="clear" w:color="auto" w:fill="FFFFFF"/>
        </w:rPr>
        <w:t>- Security Rule</w:t>
      </w:r>
    </w:p>
    <w:p w:rsidR="00B04481" w:rsidRPr="00BC232D" w:rsidRDefault="00B04481" w:rsidP="00B04481">
      <w:pPr>
        <w:pStyle w:val="ListParagraph"/>
        <w:rPr>
          <w:rFonts w:cstheme="minorHAnsi"/>
          <w:color w:val="202124"/>
          <w:shd w:val="clear" w:color="auto" w:fill="FFFFFF"/>
        </w:rPr>
      </w:pPr>
      <w:r w:rsidRPr="00BC232D">
        <w:rPr>
          <w:rFonts w:cstheme="minorHAnsi"/>
          <w:color w:val="202124"/>
          <w:shd w:val="clear" w:color="auto" w:fill="FFFFFF"/>
        </w:rPr>
        <w:t>-</w:t>
      </w:r>
      <w:r w:rsidR="003B6633" w:rsidRPr="00BC232D">
        <w:rPr>
          <w:rFonts w:cstheme="minorHAnsi"/>
          <w:color w:val="202124"/>
          <w:shd w:val="clear" w:color="auto" w:fill="FFFFFF"/>
        </w:rPr>
        <w:t xml:space="preserve"> Unique Identifiers Rule</w:t>
      </w:r>
    </w:p>
    <w:p w:rsidR="0070763F" w:rsidRPr="00BC232D" w:rsidRDefault="00B04481" w:rsidP="00B04481">
      <w:pPr>
        <w:pStyle w:val="ListParagraph"/>
        <w:rPr>
          <w:rFonts w:cstheme="minorHAnsi"/>
          <w:color w:val="202124"/>
          <w:shd w:val="clear" w:color="auto" w:fill="FFFFFF"/>
        </w:rPr>
      </w:pPr>
      <w:r w:rsidRPr="00BC232D">
        <w:rPr>
          <w:rFonts w:cstheme="minorHAnsi"/>
          <w:color w:val="202124"/>
          <w:shd w:val="clear" w:color="auto" w:fill="FFFFFF"/>
        </w:rPr>
        <w:t xml:space="preserve">- </w:t>
      </w:r>
      <w:r w:rsidR="003B6633" w:rsidRPr="00BC232D">
        <w:rPr>
          <w:rFonts w:cstheme="minorHAnsi"/>
          <w:color w:val="202124"/>
          <w:shd w:val="clear" w:color="auto" w:fill="FFFFFF"/>
        </w:rPr>
        <w:t>Enforcement Rule. Privacy rule</w:t>
      </w:r>
    </w:p>
    <w:p w:rsidR="00DD7FA8" w:rsidRPr="00BC232D" w:rsidRDefault="00DD7FA8" w:rsidP="00DD7FA8">
      <w:pPr>
        <w:pStyle w:val="ListParagraph"/>
        <w:numPr>
          <w:ilvl w:val="0"/>
          <w:numId w:val="17"/>
        </w:numPr>
        <w:rPr>
          <w:rFonts w:cstheme="minorHAnsi"/>
          <w:color w:val="202124"/>
          <w:shd w:val="clear" w:color="auto" w:fill="FFFFFF"/>
        </w:rPr>
      </w:pPr>
      <w:r w:rsidRPr="00BC232D">
        <w:rPr>
          <w:rFonts w:cstheme="minorHAnsi"/>
          <w:color w:val="202124"/>
          <w:shd w:val="clear" w:color="auto" w:fill="FFFFFF"/>
        </w:rPr>
        <w:t>Few of the HIPAA violations</w:t>
      </w:r>
    </w:p>
    <w:p w:rsidR="00DD7FA8" w:rsidRPr="00BC232D" w:rsidRDefault="00DD7FA8" w:rsidP="00DD7FA8">
      <w:pPr>
        <w:pStyle w:val="ListParagraph"/>
        <w:numPr>
          <w:ilvl w:val="1"/>
          <w:numId w:val="18"/>
        </w:numPr>
        <w:rPr>
          <w:rFonts w:cstheme="minorHAnsi"/>
          <w:color w:val="202124"/>
          <w:shd w:val="clear" w:color="auto" w:fill="FFFFFF"/>
        </w:rPr>
      </w:pPr>
      <w:r w:rsidRPr="00BC232D">
        <w:rPr>
          <w:rFonts w:cstheme="minorHAnsi"/>
          <w:color w:val="202124"/>
          <w:shd w:val="clear" w:color="auto" w:fill="FFFFFF"/>
        </w:rPr>
        <w:t>Hacking</w:t>
      </w:r>
    </w:p>
    <w:p w:rsidR="00DD7FA8" w:rsidRPr="00BC232D" w:rsidRDefault="00DD7FA8" w:rsidP="00DD7FA8">
      <w:pPr>
        <w:pStyle w:val="ListParagraph"/>
        <w:numPr>
          <w:ilvl w:val="1"/>
          <w:numId w:val="18"/>
        </w:numPr>
        <w:rPr>
          <w:rFonts w:cstheme="minorHAnsi"/>
          <w:color w:val="202124"/>
          <w:shd w:val="clear" w:color="auto" w:fill="FFFFFF"/>
        </w:rPr>
      </w:pPr>
      <w:r w:rsidRPr="00BC232D">
        <w:rPr>
          <w:rFonts w:cstheme="minorHAnsi"/>
          <w:color w:val="202124"/>
          <w:shd w:val="clear" w:color="auto" w:fill="FFFFFF"/>
        </w:rPr>
        <w:t>Loss or Theft of devices</w:t>
      </w:r>
    </w:p>
    <w:p w:rsidR="00DD7FA8" w:rsidRPr="00BC232D" w:rsidRDefault="00DD7FA8" w:rsidP="00DD7FA8">
      <w:pPr>
        <w:pStyle w:val="ListParagraph"/>
        <w:numPr>
          <w:ilvl w:val="1"/>
          <w:numId w:val="18"/>
        </w:numPr>
        <w:rPr>
          <w:rFonts w:cstheme="minorHAnsi"/>
          <w:color w:val="202124"/>
          <w:shd w:val="clear" w:color="auto" w:fill="FFFFFF"/>
        </w:rPr>
      </w:pPr>
      <w:r w:rsidRPr="00BC232D">
        <w:rPr>
          <w:rFonts w:cstheme="minorHAnsi"/>
          <w:color w:val="202124"/>
          <w:shd w:val="clear" w:color="auto" w:fill="FFFFFF"/>
        </w:rPr>
        <w:t>Gossiping/ Sharing of PHI</w:t>
      </w:r>
    </w:p>
    <w:p w:rsidR="00DD7FA8" w:rsidRPr="00BC232D" w:rsidRDefault="00DD7FA8" w:rsidP="00DD7FA8">
      <w:pPr>
        <w:pStyle w:val="ListParagraph"/>
        <w:numPr>
          <w:ilvl w:val="1"/>
          <w:numId w:val="18"/>
        </w:numPr>
        <w:rPr>
          <w:rFonts w:cstheme="minorHAnsi"/>
          <w:color w:val="202124"/>
          <w:shd w:val="clear" w:color="auto" w:fill="FFFFFF"/>
        </w:rPr>
      </w:pPr>
      <w:r w:rsidRPr="00BC232D">
        <w:rPr>
          <w:rFonts w:cstheme="minorHAnsi"/>
          <w:color w:val="202124"/>
          <w:shd w:val="clear" w:color="auto" w:fill="FFFFFF"/>
        </w:rPr>
        <w:t>Lack of Employee Training</w:t>
      </w:r>
    </w:p>
    <w:p w:rsidR="00DD7FA8" w:rsidRPr="00BC232D" w:rsidRDefault="00DD7FA8" w:rsidP="00DD7FA8">
      <w:pPr>
        <w:pStyle w:val="ListParagraph"/>
        <w:numPr>
          <w:ilvl w:val="1"/>
          <w:numId w:val="18"/>
        </w:numPr>
        <w:rPr>
          <w:rFonts w:cstheme="minorHAnsi"/>
          <w:color w:val="202124"/>
          <w:shd w:val="clear" w:color="auto" w:fill="FFFFFF"/>
        </w:rPr>
      </w:pPr>
      <w:r w:rsidRPr="00BC232D">
        <w:rPr>
          <w:rFonts w:cstheme="minorHAnsi"/>
          <w:color w:val="202124"/>
          <w:shd w:val="clear" w:color="auto" w:fill="FFFFFF"/>
        </w:rPr>
        <w:t>Disclosure to Third-party</w:t>
      </w:r>
    </w:p>
    <w:p w:rsidR="001C43BA" w:rsidRPr="00BC232D" w:rsidRDefault="00DD7FA8" w:rsidP="00B04481">
      <w:pPr>
        <w:pStyle w:val="ListParagraph"/>
        <w:numPr>
          <w:ilvl w:val="1"/>
          <w:numId w:val="18"/>
        </w:numPr>
        <w:rPr>
          <w:rFonts w:cstheme="minorHAnsi"/>
          <w:color w:val="202124"/>
          <w:shd w:val="clear" w:color="auto" w:fill="FFFFFF"/>
        </w:rPr>
      </w:pPr>
      <w:r w:rsidRPr="00BC232D">
        <w:rPr>
          <w:rFonts w:eastAsia="Times New Roman" w:cstheme="minorHAnsi"/>
          <w:color w:val="202124"/>
          <w:sz w:val="24"/>
          <w:szCs w:val="24"/>
          <w:lang w:eastAsia="en-IN"/>
        </w:rPr>
        <w:t>Unauthorized Release of Information</w:t>
      </w:r>
      <w:bookmarkStart w:id="0" w:name="_GoBack"/>
      <w:bookmarkEnd w:id="0"/>
    </w:p>
    <w:sectPr w:rsidR="001C43BA" w:rsidRPr="00BC2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8070BC"/>
    <w:multiLevelType w:val="hybridMultilevel"/>
    <w:tmpl w:val="37540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3B0F0A"/>
    <w:multiLevelType w:val="hybridMultilevel"/>
    <w:tmpl w:val="46742C7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17C16A20"/>
    <w:multiLevelType w:val="hybridMultilevel"/>
    <w:tmpl w:val="41B060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89365FC"/>
    <w:multiLevelType w:val="multilevel"/>
    <w:tmpl w:val="F288F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5D42AA"/>
    <w:multiLevelType w:val="multilevel"/>
    <w:tmpl w:val="4D482D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560C2B"/>
    <w:multiLevelType w:val="hybridMultilevel"/>
    <w:tmpl w:val="0BF634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5C16363"/>
    <w:multiLevelType w:val="multilevel"/>
    <w:tmpl w:val="539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FF3BB8"/>
    <w:multiLevelType w:val="hybridMultilevel"/>
    <w:tmpl w:val="88022D4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3A093DEB"/>
    <w:multiLevelType w:val="hybridMultilevel"/>
    <w:tmpl w:val="59CE9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9CA1295"/>
    <w:multiLevelType w:val="hybridMultilevel"/>
    <w:tmpl w:val="DAF22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562596C"/>
    <w:multiLevelType w:val="multilevel"/>
    <w:tmpl w:val="AC7A3F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6C6203"/>
    <w:multiLevelType w:val="hybridMultilevel"/>
    <w:tmpl w:val="CD9C5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A456449"/>
    <w:multiLevelType w:val="hybridMultilevel"/>
    <w:tmpl w:val="479A447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nsid w:val="67B67ED1"/>
    <w:multiLevelType w:val="multilevel"/>
    <w:tmpl w:val="C560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33877D0"/>
    <w:multiLevelType w:val="hybridMultilevel"/>
    <w:tmpl w:val="87986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3B06F99"/>
    <w:multiLevelType w:val="hybridMultilevel"/>
    <w:tmpl w:val="403A5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43B57D0"/>
    <w:multiLevelType w:val="hybridMultilevel"/>
    <w:tmpl w:val="2C948BC4"/>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7">
    <w:nsid w:val="7E1A7016"/>
    <w:multiLevelType w:val="multilevel"/>
    <w:tmpl w:val="88CC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16"/>
  </w:num>
  <w:num w:numId="4">
    <w:abstractNumId w:val="2"/>
  </w:num>
  <w:num w:numId="5">
    <w:abstractNumId w:val="17"/>
  </w:num>
  <w:num w:numId="6">
    <w:abstractNumId w:val="9"/>
  </w:num>
  <w:num w:numId="7">
    <w:abstractNumId w:val="12"/>
  </w:num>
  <w:num w:numId="8">
    <w:abstractNumId w:val="14"/>
  </w:num>
  <w:num w:numId="9">
    <w:abstractNumId w:val="6"/>
  </w:num>
  <w:num w:numId="10">
    <w:abstractNumId w:val="0"/>
  </w:num>
  <w:num w:numId="11">
    <w:abstractNumId w:val="1"/>
  </w:num>
  <w:num w:numId="12">
    <w:abstractNumId w:val="4"/>
  </w:num>
  <w:num w:numId="13">
    <w:abstractNumId w:val="10"/>
  </w:num>
  <w:num w:numId="14">
    <w:abstractNumId w:val="13"/>
  </w:num>
  <w:num w:numId="15">
    <w:abstractNumId w:val="8"/>
  </w:num>
  <w:num w:numId="16">
    <w:abstractNumId w:val="7"/>
  </w:num>
  <w:num w:numId="17">
    <w:abstractNumId w:val="1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7FB"/>
    <w:rsid w:val="000447FB"/>
    <w:rsid w:val="001C43BA"/>
    <w:rsid w:val="002117A9"/>
    <w:rsid w:val="002555CE"/>
    <w:rsid w:val="003102BA"/>
    <w:rsid w:val="003A290E"/>
    <w:rsid w:val="003B6633"/>
    <w:rsid w:val="0048207A"/>
    <w:rsid w:val="004A682D"/>
    <w:rsid w:val="0070763F"/>
    <w:rsid w:val="008363A9"/>
    <w:rsid w:val="00B04481"/>
    <w:rsid w:val="00BC232D"/>
    <w:rsid w:val="00C84FF8"/>
    <w:rsid w:val="00DD7FA8"/>
    <w:rsid w:val="00EB4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E35B31-23DB-4AC1-BAAA-6D89C074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47FB"/>
    <w:pPr>
      <w:ind w:left="720"/>
      <w:contextualSpacing/>
    </w:pPr>
  </w:style>
  <w:style w:type="character" w:styleId="Hyperlink">
    <w:name w:val="Hyperlink"/>
    <w:basedOn w:val="DefaultParagraphFont"/>
    <w:uiPriority w:val="99"/>
    <w:semiHidden/>
    <w:unhideWhenUsed/>
    <w:rsid w:val="0070763F"/>
    <w:rPr>
      <w:color w:val="0000FF"/>
      <w:u w:val="single"/>
    </w:rPr>
  </w:style>
  <w:style w:type="paragraph" w:styleId="NormalWeb">
    <w:name w:val="Normal (Web)"/>
    <w:basedOn w:val="Normal"/>
    <w:uiPriority w:val="99"/>
    <w:semiHidden/>
    <w:unhideWhenUsed/>
    <w:rsid w:val="003102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02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78832">
      <w:bodyDiv w:val="1"/>
      <w:marLeft w:val="0"/>
      <w:marRight w:val="0"/>
      <w:marTop w:val="0"/>
      <w:marBottom w:val="0"/>
      <w:divBdr>
        <w:top w:val="none" w:sz="0" w:space="0" w:color="auto"/>
        <w:left w:val="none" w:sz="0" w:space="0" w:color="auto"/>
        <w:bottom w:val="none" w:sz="0" w:space="0" w:color="auto"/>
        <w:right w:val="none" w:sz="0" w:space="0" w:color="auto"/>
      </w:divBdr>
    </w:div>
    <w:div w:id="318004933">
      <w:bodyDiv w:val="1"/>
      <w:marLeft w:val="0"/>
      <w:marRight w:val="0"/>
      <w:marTop w:val="0"/>
      <w:marBottom w:val="0"/>
      <w:divBdr>
        <w:top w:val="none" w:sz="0" w:space="0" w:color="auto"/>
        <w:left w:val="none" w:sz="0" w:space="0" w:color="auto"/>
        <w:bottom w:val="none" w:sz="0" w:space="0" w:color="auto"/>
        <w:right w:val="none" w:sz="0" w:space="0" w:color="auto"/>
      </w:divBdr>
      <w:divsChild>
        <w:div w:id="1066997792">
          <w:marLeft w:val="0"/>
          <w:marRight w:val="0"/>
          <w:marTop w:val="0"/>
          <w:marBottom w:val="225"/>
          <w:divBdr>
            <w:top w:val="none" w:sz="0" w:space="0" w:color="auto"/>
            <w:left w:val="none" w:sz="0" w:space="0" w:color="auto"/>
            <w:bottom w:val="none" w:sz="0" w:space="0" w:color="auto"/>
            <w:right w:val="none" w:sz="0" w:space="0" w:color="auto"/>
          </w:divBdr>
        </w:div>
      </w:divsChild>
    </w:div>
    <w:div w:id="485436891">
      <w:bodyDiv w:val="1"/>
      <w:marLeft w:val="0"/>
      <w:marRight w:val="0"/>
      <w:marTop w:val="0"/>
      <w:marBottom w:val="0"/>
      <w:divBdr>
        <w:top w:val="none" w:sz="0" w:space="0" w:color="auto"/>
        <w:left w:val="none" w:sz="0" w:space="0" w:color="auto"/>
        <w:bottom w:val="none" w:sz="0" w:space="0" w:color="auto"/>
        <w:right w:val="none" w:sz="0" w:space="0" w:color="auto"/>
      </w:divBdr>
      <w:divsChild>
        <w:div w:id="972443204">
          <w:marLeft w:val="0"/>
          <w:marRight w:val="0"/>
          <w:marTop w:val="0"/>
          <w:marBottom w:val="225"/>
          <w:divBdr>
            <w:top w:val="none" w:sz="0" w:space="0" w:color="auto"/>
            <w:left w:val="none" w:sz="0" w:space="0" w:color="auto"/>
            <w:bottom w:val="none" w:sz="0" w:space="0" w:color="auto"/>
            <w:right w:val="none" w:sz="0" w:space="0" w:color="auto"/>
          </w:divBdr>
        </w:div>
      </w:divsChild>
    </w:div>
    <w:div w:id="486828967">
      <w:bodyDiv w:val="1"/>
      <w:marLeft w:val="0"/>
      <w:marRight w:val="0"/>
      <w:marTop w:val="0"/>
      <w:marBottom w:val="0"/>
      <w:divBdr>
        <w:top w:val="none" w:sz="0" w:space="0" w:color="auto"/>
        <w:left w:val="none" w:sz="0" w:space="0" w:color="auto"/>
        <w:bottom w:val="none" w:sz="0" w:space="0" w:color="auto"/>
        <w:right w:val="none" w:sz="0" w:space="0" w:color="auto"/>
      </w:divBdr>
      <w:divsChild>
        <w:div w:id="1086877981">
          <w:marLeft w:val="0"/>
          <w:marRight w:val="0"/>
          <w:marTop w:val="0"/>
          <w:marBottom w:val="225"/>
          <w:divBdr>
            <w:top w:val="none" w:sz="0" w:space="0" w:color="auto"/>
            <w:left w:val="none" w:sz="0" w:space="0" w:color="auto"/>
            <w:bottom w:val="none" w:sz="0" w:space="0" w:color="auto"/>
            <w:right w:val="none" w:sz="0" w:space="0" w:color="auto"/>
          </w:divBdr>
        </w:div>
      </w:divsChild>
    </w:div>
    <w:div w:id="577205772">
      <w:bodyDiv w:val="1"/>
      <w:marLeft w:val="0"/>
      <w:marRight w:val="0"/>
      <w:marTop w:val="0"/>
      <w:marBottom w:val="0"/>
      <w:divBdr>
        <w:top w:val="none" w:sz="0" w:space="0" w:color="auto"/>
        <w:left w:val="none" w:sz="0" w:space="0" w:color="auto"/>
        <w:bottom w:val="none" w:sz="0" w:space="0" w:color="auto"/>
        <w:right w:val="none" w:sz="0" w:space="0" w:color="auto"/>
      </w:divBdr>
      <w:divsChild>
        <w:div w:id="2094426060">
          <w:marLeft w:val="0"/>
          <w:marRight w:val="0"/>
          <w:marTop w:val="0"/>
          <w:marBottom w:val="225"/>
          <w:divBdr>
            <w:top w:val="none" w:sz="0" w:space="0" w:color="auto"/>
            <w:left w:val="none" w:sz="0" w:space="0" w:color="auto"/>
            <w:bottom w:val="none" w:sz="0" w:space="0" w:color="auto"/>
            <w:right w:val="none" w:sz="0" w:space="0" w:color="auto"/>
          </w:divBdr>
        </w:div>
      </w:divsChild>
    </w:div>
    <w:div w:id="1117218522">
      <w:bodyDiv w:val="1"/>
      <w:marLeft w:val="0"/>
      <w:marRight w:val="0"/>
      <w:marTop w:val="0"/>
      <w:marBottom w:val="0"/>
      <w:divBdr>
        <w:top w:val="none" w:sz="0" w:space="0" w:color="auto"/>
        <w:left w:val="none" w:sz="0" w:space="0" w:color="auto"/>
        <w:bottom w:val="none" w:sz="0" w:space="0" w:color="auto"/>
        <w:right w:val="none" w:sz="0" w:space="0" w:color="auto"/>
      </w:divBdr>
    </w:div>
    <w:div w:id="1209950057">
      <w:bodyDiv w:val="1"/>
      <w:marLeft w:val="0"/>
      <w:marRight w:val="0"/>
      <w:marTop w:val="0"/>
      <w:marBottom w:val="0"/>
      <w:divBdr>
        <w:top w:val="none" w:sz="0" w:space="0" w:color="auto"/>
        <w:left w:val="none" w:sz="0" w:space="0" w:color="auto"/>
        <w:bottom w:val="none" w:sz="0" w:space="0" w:color="auto"/>
        <w:right w:val="none" w:sz="0" w:space="0" w:color="auto"/>
      </w:divBdr>
    </w:div>
    <w:div w:id="1249339700">
      <w:bodyDiv w:val="1"/>
      <w:marLeft w:val="0"/>
      <w:marRight w:val="0"/>
      <w:marTop w:val="0"/>
      <w:marBottom w:val="0"/>
      <w:divBdr>
        <w:top w:val="none" w:sz="0" w:space="0" w:color="auto"/>
        <w:left w:val="none" w:sz="0" w:space="0" w:color="auto"/>
        <w:bottom w:val="none" w:sz="0" w:space="0" w:color="auto"/>
        <w:right w:val="none" w:sz="0" w:space="0" w:color="auto"/>
      </w:divBdr>
      <w:divsChild>
        <w:div w:id="900679618">
          <w:marLeft w:val="0"/>
          <w:marRight w:val="0"/>
          <w:marTop w:val="0"/>
          <w:marBottom w:val="225"/>
          <w:divBdr>
            <w:top w:val="none" w:sz="0" w:space="0" w:color="auto"/>
            <w:left w:val="none" w:sz="0" w:space="0" w:color="auto"/>
            <w:bottom w:val="none" w:sz="0" w:space="0" w:color="auto"/>
            <w:right w:val="none" w:sz="0" w:space="0" w:color="auto"/>
          </w:divBdr>
        </w:div>
      </w:divsChild>
    </w:div>
    <w:div w:id="184577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3</cp:revision>
  <dcterms:created xsi:type="dcterms:W3CDTF">2021-02-01T10:28:00Z</dcterms:created>
  <dcterms:modified xsi:type="dcterms:W3CDTF">2021-02-01T10:30:00Z</dcterms:modified>
</cp:coreProperties>
</file>