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CA7" w:rsidRPr="00FC1071" w:rsidRDefault="00946CA7">
      <w:pPr>
        <w:rPr>
          <w:rFonts w:ascii="Times New Roman" w:hAnsi="Times New Roman" w:cs="Times New Roman"/>
        </w:rPr>
      </w:pPr>
      <w:r w:rsidRPr="00FC1071">
        <w:rPr>
          <w:rFonts w:ascii="Times New Roman" w:hAnsi="Times New Roman" w:cs="Times New Roman"/>
        </w:rPr>
        <w:t>1.</w:t>
      </w:r>
      <w:bookmarkStart w:id="0" w:name="_GoBack"/>
      <w:bookmarkEnd w:id="0"/>
    </w:p>
    <w:p w:rsidR="00946CA7" w:rsidRPr="00FC1071" w:rsidRDefault="00946CA7">
      <w:pPr>
        <w:rPr>
          <w:rFonts w:ascii="Times New Roman" w:hAnsi="Times New Roman" w:cs="Times New Roman"/>
        </w:rPr>
      </w:pPr>
      <w:r w:rsidRPr="00FC1071">
        <w:rPr>
          <w:rFonts w:ascii="Times New Roman" w:hAnsi="Times New Roman" w:cs="Times New Roman"/>
        </w:rPr>
        <w:t>(a) Trade Comparison. Analysis of trade data (both internal and external where available) is used to determine the most relevant pricing inputs and valuations.</w:t>
      </w:r>
    </w:p>
    <w:p w:rsidR="00946CA7" w:rsidRPr="00FC1071" w:rsidRDefault="00946CA7">
      <w:pPr>
        <w:rPr>
          <w:rFonts w:ascii="Times New Roman" w:hAnsi="Times New Roman" w:cs="Times New Roman"/>
        </w:rPr>
      </w:pPr>
      <w:r w:rsidRPr="00FC1071">
        <w:rPr>
          <w:rFonts w:ascii="Times New Roman" w:hAnsi="Times New Roman" w:cs="Times New Roman"/>
        </w:rPr>
        <w:t xml:space="preserve">External Price Comparison. Valuations and prices are compared to pricing data obtained from third parties (e.g., broker or dealers, </w:t>
      </w:r>
      <w:proofErr w:type="spellStart"/>
      <w:r w:rsidRPr="00FC1071">
        <w:rPr>
          <w:rFonts w:ascii="Times New Roman" w:hAnsi="Times New Roman" w:cs="Times New Roman"/>
        </w:rPr>
        <w:t>MarkIt</w:t>
      </w:r>
      <w:proofErr w:type="spellEnd"/>
      <w:r w:rsidRPr="00FC1071">
        <w:rPr>
          <w:rFonts w:ascii="Times New Roman" w:hAnsi="Times New Roman" w:cs="Times New Roman"/>
        </w:rPr>
        <w:t xml:space="preserve">, Bloomberg, IDC, </w:t>
      </w:r>
      <w:proofErr w:type="gramStart"/>
      <w:r w:rsidRPr="00FC1071">
        <w:rPr>
          <w:rFonts w:ascii="Times New Roman" w:hAnsi="Times New Roman" w:cs="Times New Roman"/>
        </w:rPr>
        <w:t>TRACE</w:t>
      </w:r>
      <w:proofErr w:type="gramEnd"/>
      <w:r w:rsidRPr="00FC1071">
        <w:rPr>
          <w:rFonts w:ascii="Times New Roman" w:hAnsi="Times New Roman" w:cs="Times New Roman"/>
        </w:rPr>
        <w:t>). Data obtained from various sources is compared to ensure consistency and validity. When broker or dealer quotations or third-party pricing vendors are used for valuation or price verification, greater priority is generally given to executable quotations.</w:t>
      </w:r>
    </w:p>
    <w:p w:rsidR="00946CA7" w:rsidRPr="00FC1071" w:rsidRDefault="00946CA7">
      <w:pPr>
        <w:rPr>
          <w:rFonts w:ascii="Times New Roman" w:hAnsi="Times New Roman" w:cs="Times New Roman"/>
        </w:rPr>
      </w:pPr>
      <w:r w:rsidRPr="00FC1071">
        <w:rPr>
          <w:rFonts w:ascii="Times New Roman" w:hAnsi="Times New Roman" w:cs="Times New Roman"/>
        </w:rPr>
        <w:t xml:space="preserve">Calibration to Market </w:t>
      </w:r>
      <w:proofErr w:type="spellStart"/>
      <w:r w:rsidRPr="00FC1071">
        <w:rPr>
          <w:rFonts w:ascii="Times New Roman" w:hAnsi="Times New Roman" w:cs="Times New Roman"/>
        </w:rPr>
        <w:t>Comparables</w:t>
      </w:r>
      <w:proofErr w:type="spellEnd"/>
      <w:r w:rsidRPr="00FC1071">
        <w:rPr>
          <w:rFonts w:ascii="Times New Roman" w:hAnsi="Times New Roman" w:cs="Times New Roman"/>
        </w:rPr>
        <w:t>. Market-based transactions are used to corroborate the valuation of positions with similar characteristics, risks and components.</w:t>
      </w:r>
    </w:p>
    <w:p w:rsidR="00946CA7" w:rsidRPr="00FC1071" w:rsidRDefault="00946CA7">
      <w:pPr>
        <w:rPr>
          <w:rFonts w:ascii="Times New Roman" w:hAnsi="Times New Roman" w:cs="Times New Roman"/>
        </w:rPr>
      </w:pPr>
      <w:r w:rsidRPr="00FC1071">
        <w:rPr>
          <w:rFonts w:ascii="Times New Roman" w:hAnsi="Times New Roman" w:cs="Times New Roman"/>
        </w:rPr>
        <w:t>Relative Value Analyses. Market-based transactions are analyzed to determine the similarity, measured in terms of risk, liquidity and return, of one instrument relative to another or, for a given instrument, of one maturity relative to another.</w:t>
      </w:r>
    </w:p>
    <w:p w:rsidR="00946CA7" w:rsidRPr="00FC1071" w:rsidRDefault="00946CA7">
      <w:pPr>
        <w:rPr>
          <w:rFonts w:ascii="Times New Roman" w:hAnsi="Times New Roman" w:cs="Times New Roman"/>
        </w:rPr>
      </w:pPr>
      <w:r w:rsidRPr="00FC1071">
        <w:rPr>
          <w:rFonts w:ascii="Times New Roman" w:hAnsi="Times New Roman" w:cs="Times New Roman"/>
        </w:rPr>
        <w:t>Collateral Analyses. Margin calls on derivatives are analyzed to determine implied values which are used to corroborate our valuations.</w:t>
      </w:r>
    </w:p>
    <w:p w:rsidR="00946CA7" w:rsidRPr="00FC1071" w:rsidRDefault="00946CA7">
      <w:pPr>
        <w:rPr>
          <w:rFonts w:ascii="Times New Roman" w:hAnsi="Times New Roman" w:cs="Times New Roman"/>
        </w:rPr>
      </w:pPr>
      <w:r w:rsidRPr="00FC1071">
        <w:rPr>
          <w:rFonts w:ascii="Times New Roman" w:hAnsi="Times New Roman" w:cs="Times New Roman"/>
        </w:rPr>
        <w:t>Execution of Trades. Where appropriate, trading desks are instructed to execute trades in order to provide evidence of market-clearing levels.</w:t>
      </w:r>
    </w:p>
    <w:p w:rsidR="009D7506" w:rsidRDefault="00946CA7" w:rsidP="009D7506">
      <w:pPr>
        <w:tabs>
          <w:tab w:val="left" w:pos="8640"/>
        </w:tabs>
        <w:rPr>
          <w:rFonts w:ascii="Times New Roman" w:hAnsi="Times New Roman" w:cs="Times New Roman"/>
        </w:rPr>
      </w:pPr>
      <w:proofErr w:type="spellStart"/>
      <w:r w:rsidRPr="00FC1071">
        <w:rPr>
          <w:rFonts w:ascii="Times New Roman" w:hAnsi="Times New Roman" w:cs="Times New Roman"/>
        </w:rPr>
        <w:t>Backtesting</w:t>
      </w:r>
      <w:proofErr w:type="spellEnd"/>
      <w:r w:rsidRPr="00FC1071">
        <w:rPr>
          <w:rFonts w:ascii="Times New Roman" w:hAnsi="Times New Roman" w:cs="Times New Roman"/>
        </w:rPr>
        <w:t>. Valuations are corroborated by comparison to values realized upon sales.</w:t>
      </w:r>
      <w:r w:rsidR="009D7506" w:rsidRPr="00FC1071">
        <w:rPr>
          <w:rFonts w:ascii="Times New Roman" w:hAnsi="Times New Roman" w:cs="Times New Roman"/>
        </w:rPr>
        <w:tab/>
      </w:r>
    </w:p>
    <w:p w:rsidR="00957392" w:rsidRPr="00FC1071" w:rsidRDefault="00957392" w:rsidP="009D7506">
      <w:pPr>
        <w:tabs>
          <w:tab w:val="left" w:pos="8640"/>
        </w:tabs>
        <w:rPr>
          <w:rFonts w:ascii="Times New Roman" w:hAnsi="Times New Roman" w:cs="Times New Roman"/>
        </w:rPr>
      </w:pPr>
    </w:p>
    <w:p w:rsidR="00384AF7" w:rsidRPr="00FC1071" w:rsidRDefault="009D7506" w:rsidP="009D7506">
      <w:pPr>
        <w:tabs>
          <w:tab w:val="left" w:pos="8640"/>
        </w:tabs>
        <w:rPr>
          <w:rFonts w:ascii="Times New Roman" w:hAnsi="Times New Roman" w:cs="Times New Roman"/>
        </w:rPr>
      </w:pPr>
      <w:r w:rsidRPr="00FC1071">
        <w:rPr>
          <w:rFonts w:ascii="Times New Roman" w:hAnsi="Times New Roman" w:cs="Times New Roman"/>
        </w:rPr>
        <w:t>(b) Review of Net Revenues. Independent control and support functions ensure adherence to our pricing policy through a combination of daily procedures, including the explanation and attribution of net revenues based on the underlying factors. Through this process we independently validate net revenues, identify and resolve potential fair value or trade booking issues on a timely basis and seek to ensure that risks are being properly categorized and quantified.</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t>(</w:t>
      </w:r>
      <w:proofErr w:type="gramStart"/>
      <w:r w:rsidRPr="00FC1071">
        <w:rPr>
          <w:rFonts w:ascii="Times New Roman" w:hAnsi="Times New Roman" w:cs="Times New Roman"/>
        </w:rPr>
        <w:t>c )</w:t>
      </w:r>
      <w:proofErr w:type="gramEnd"/>
      <w:r w:rsidRPr="00FC1071">
        <w:rPr>
          <w:rFonts w:ascii="Times New Roman" w:hAnsi="Times New Roman" w:cs="Times New Roman"/>
        </w:rPr>
        <w:t xml:space="preserve"> Review of Valuation Models. The firm’s independent model validation group, consisting of quantitative professionals who are </w:t>
      </w:r>
      <w:r w:rsidRPr="00FC1071">
        <w:rPr>
          <w:rFonts w:ascii="Times New Roman" w:hAnsi="Times New Roman" w:cs="Times New Roman"/>
          <w:b/>
        </w:rPr>
        <w:t>separate from model developers</w:t>
      </w:r>
      <w:r w:rsidRPr="00FC1071">
        <w:rPr>
          <w:rFonts w:ascii="Times New Roman" w:hAnsi="Times New Roman" w:cs="Times New Roman"/>
        </w:rPr>
        <w:t>, performs an independent model approval process. This process incorporates a review of a diverse set of model and trade parameters across a broad range of values (including extreme and/or improbable conditions) in order to critically evaluate</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t>(d)  The model’s suitability for valuation and risk management of a particular instrument type;</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t xml:space="preserve">        The model’s accuracy in reflecting the characteristics of the related product and its significant risks;</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t>The suitability of the calculation techniques incorporated in the model;</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t>The model’s consistency with models for similar products; and</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t>The model’s sensitivity to input parameters and assumptions.</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t>2. Our most important liquidity policy is to pre-fund our estimated potential cash and collateral needs during a liquidity crisis and hold this liquidity in the form of unencumbered, highly liquid securities and cash.</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lastRenderedPageBreak/>
        <w:t>3.</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t xml:space="preserve">(a) Our primary risk measures are </w:t>
      </w: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which is used for shorter-term periods, and stress tests. </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t xml:space="preserve">(b) We typically employ a one-day time horizon with a 95% confidence level. We use a single </w:t>
      </w: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model which captures risks including interest rates, equity prices, currency rates and commodity prices.</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t xml:space="preserve">We are aware of the inherent limitations to </w:t>
      </w: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and therefore use a variety of risk measures in our market risk management process. Inherent limitations to </w:t>
      </w: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include:</w:t>
      </w:r>
    </w:p>
    <w:p w:rsidR="00384AF7" w:rsidRPr="00FC1071" w:rsidRDefault="00384AF7" w:rsidP="009D7506">
      <w:pPr>
        <w:tabs>
          <w:tab w:val="left" w:pos="8640"/>
        </w:tabs>
        <w:rPr>
          <w:rFonts w:ascii="Times New Roman" w:hAnsi="Times New Roman" w:cs="Times New Roman"/>
        </w:rPr>
      </w:pP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does not estimate potential losses over longer time horizons where moves may be extreme;</w:t>
      </w:r>
    </w:p>
    <w:p w:rsidR="00384AF7" w:rsidRPr="00FC1071" w:rsidRDefault="00384AF7" w:rsidP="009D7506">
      <w:pPr>
        <w:tabs>
          <w:tab w:val="left" w:pos="8640"/>
        </w:tabs>
        <w:rPr>
          <w:rFonts w:ascii="Times New Roman" w:hAnsi="Times New Roman" w:cs="Times New Roman"/>
        </w:rPr>
      </w:pP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does not take account of the relative liquidity of different risk positions; and</w:t>
      </w:r>
    </w:p>
    <w:p w:rsidR="00384AF7" w:rsidRPr="00FC1071" w:rsidRDefault="00384AF7" w:rsidP="009D7506">
      <w:pPr>
        <w:tabs>
          <w:tab w:val="left" w:pos="8640"/>
        </w:tabs>
        <w:rPr>
          <w:rFonts w:ascii="Times New Roman" w:hAnsi="Times New Roman" w:cs="Times New Roman"/>
        </w:rPr>
      </w:pPr>
      <w:r w:rsidRPr="00FC1071">
        <w:rPr>
          <w:rFonts w:ascii="Times New Roman" w:hAnsi="Times New Roman" w:cs="Times New Roman"/>
        </w:rPr>
        <w:t>Previous moves in market risk factors may not produce accurate predictions of all future market moves.</w:t>
      </w:r>
    </w:p>
    <w:p w:rsidR="00631039" w:rsidRPr="00FC1071" w:rsidRDefault="00631039" w:rsidP="009D7506">
      <w:pPr>
        <w:tabs>
          <w:tab w:val="left" w:pos="8640"/>
        </w:tabs>
        <w:rPr>
          <w:rFonts w:ascii="Times New Roman" w:hAnsi="Times New Roman" w:cs="Times New Roman"/>
        </w:rPr>
      </w:pPr>
      <w:r w:rsidRPr="00FC1071">
        <w:rPr>
          <w:rFonts w:ascii="Times New Roman" w:hAnsi="Times New Roman" w:cs="Times New Roman"/>
        </w:rPr>
        <w:t>(</w:t>
      </w:r>
      <w:proofErr w:type="gramStart"/>
      <w:r w:rsidRPr="00FC1071">
        <w:rPr>
          <w:rFonts w:ascii="Times New Roman" w:hAnsi="Times New Roman" w:cs="Times New Roman"/>
        </w:rPr>
        <w:t>c )</w:t>
      </w:r>
      <w:proofErr w:type="gramEnd"/>
      <w:r w:rsidRPr="00FC1071">
        <w:rPr>
          <w:rFonts w:ascii="Times New Roman" w:hAnsi="Times New Roman" w:cs="Times New Roman"/>
        </w:rPr>
        <w:t xml:space="preserve"> When calculating </w:t>
      </w: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we use historical simulations with full valuation of approximately 70,000 market factors. </w:t>
      </w: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is calculated at a position level based on simultaneously shocking the relevant market risk factors for that position. We sample from five years of historical data to generate the scenarios for our </w:t>
      </w: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calculation. The historical data is weighted so that the relative importance of the data reduces over time. This gives greater importance to more recent observations and reflects current asset volatilities, which improves the accuracy of our estimates of potential loss. As a result, even if our positions included in </w:t>
      </w: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were unchanged, our </w:t>
      </w: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would increase with increasing market volatility and vice versa. </w:t>
      </w:r>
    </w:p>
    <w:p w:rsidR="00631039" w:rsidRPr="00FC1071" w:rsidRDefault="00631039" w:rsidP="009D7506">
      <w:pPr>
        <w:tabs>
          <w:tab w:val="left" w:pos="8640"/>
        </w:tabs>
        <w:rPr>
          <w:rFonts w:ascii="Times New Roman" w:hAnsi="Times New Roman" w:cs="Times New Roman"/>
        </w:rPr>
      </w:pPr>
      <w:r w:rsidRPr="00FC1071">
        <w:rPr>
          <w:rFonts w:ascii="Times New Roman" w:hAnsi="Times New Roman" w:cs="Times New Roman"/>
        </w:rPr>
        <w:t xml:space="preserve">Given its reliance on historical data, </w:t>
      </w:r>
      <w:proofErr w:type="spellStart"/>
      <w:r w:rsidRPr="00FC1071">
        <w:rPr>
          <w:rFonts w:ascii="Times New Roman" w:hAnsi="Times New Roman" w:cs="Times New Roman"/>
        </w:rPr>
        <w:t>VaR</w:t>
      </w:r>
      <w:proofErr w:type="spellEnd"/>
      <w:r w:rsidRPr="00FC1071">
        <w:rPr>
          <w:rFonts w:ascii="Times New Roman" w:hAnsi="Times New Roman" w:cs="Times New Roman"/>
        </w:rPr>
        <w:t xml:space="preserve"> is most effective in estimating risk exposures in markets in which there are no sudden fundamental changes or shifts in market conditions.</w:t>
      </w:r>
    </w:p>
    <w:p w:rsidR="00631039" w:rsidRPr="00FC1071" w:rsidRDefault="00631039" w:rsidP="009D7506">
      <w:pPr>
        <w:tabs>
          <w:tab w:val="left" w:pos="8640"/>
        </w:tabs>
        <w:rPr>
          <w:rFonts w:ascii="Times New Roman" w:hAnsi="Times New Roman" w:cs="Times New Roman"/>
        </w:rPr>
      </w:pPr>
      <w:r w:rsidRPr="00FC1071">
        <w:rPr>
          <w:rFonts w:ascii="Times New Roman" w:hAnsi="Times New Roman" w:cs="Times New Roman"/>
        </w:rPr>
        <w:t xml:space="preserve">(d) </w:t>
      </w:r>
      <w:proofErr w:type="gramStart"/>
      <w:r w:rsidRPr="00FC1071">
        <w:rPr>
          <w:rFonts w:ascii="Times New Roman" w:hAnsi="Times New Roman" w:cs="Times New Roman"/>
        </w:rPr>
        <w:t>return</w:t>
      </w:r>
      <w:proofErr w:type="gramEnd"/>
      <w:r w:rsidRPr="00FC1071">
        <w:rPr>
          <w:rFonts w:ascii="Times New Roman" w:hAnsi="Times New Roman" w:cs="Times New Roman"/>
        </w:rPr>
        <w:t xml:space="preserve"> of stocks</w:t>
      </w:r>
    </w:p>
    <w:p w:rsidR="00384AF7" w:rsidRPr="00FC1071" w:rsidRDefault="00384AF7" w:rsidP="009D7506">
      <w:pPr>
        <w:tabs>
          <w:tab w:val="left" w:pos="8640"/>
        </w:tabs>
        <w:rPr>
          <w:rFonts w:ascii="Times New Roman" w:hAnsi="Times New Roman" w:cs="Times New Roman"/>
        </w:rPr>
      </w:pPr>
    </w:p>
    <w:sectPr w:rsidR="00384AF7" w:rsidRPr="00FC1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A7"/>
    <w:rsid w:val="00384AF7"/>
    <w:rsid w:val="00563732"/>
    <w:rsid w:val="00631039"/>
    <w:rsid w:val="007554A3"/>
    <w:rsid w:val="00946CA7"/>
    <w:rsid w:val="00957392"/>
    <w:rsid w:val="009D7506"/>
    <w:rsid w:val="00E2441B"/>
    <w:rsid w:val="00F22FA1"/>
    <w:rsid w:val="00FC1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85FE8-CD55-4D55-9A39-8AE63717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J</dc:creator>
  <cp:keywords/>
  <dc:description/>
  <cp:lastModifiedBy>Sora J</cp:lastModifiedBy>
  <cp:revision>6</cp:revision>
  <dcterms:created xsi:type="dcterms:W3CDTF">2016-01-22T21:18:00Z</dcterms:created>
  <dcterms:modified xsi:type="dcterms:W3CDTF">2016-01-22T21:50:00Z</dcterms:modified>
</cp:coreProperties>
</file>