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黑体" w:hAnsi="黑体" w:eastAsia="黑体"/>
          <w:b/>
          <w:sz w:val="44"/>
        </w:rPr>
        <w:t>科研训练课程教学大纲</w:t>
      </w:r>
    </w:p>
    <w:p>
      <w:pPr>
        <w:spacing w:line="240" w:lineRule="auto" w:before="0"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（Scientific Research Training）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课程代码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G03305613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课程学分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</w:tr>
      <w:tr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英文名称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Scientific Research Training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课程学时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4周集中实践</w:t>
            </w:r>
          </w:p>
        </w:tc>
      </w:tr>
      <w:tr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开课学期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第四学年1学期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使用专业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物联网工程专业</w:t>
            </w:r>
          </w:p>
        </w:tc>
      </w:tr>
      <w:tr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课程平台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集中实践教育平台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课程模块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集中实践课程</w:t>
            </w:r>
          </w:p>
        </w:tc>
      </w:tr>
      <w:tr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先修课程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数据结构、计算机网络、物联网通信技术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/>
                <w:sz w:val="22"/>
              </w:rPr>
              <w:t>选用教材</w:t>
            </w:r>
          </w:p>
        </w:tc>
        <w:tc>
          <w:tcPr>
            <w:tcW w:type="dxa" w:w="2266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2"/>
              </w:rPr>
              <w:t>无（以文献与项目资料为主）</w:t>
            </w:r>
          </w:p>
        </w:tc>
      </w:tr>
    </w:tbl>
    <w:p/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32"/>
        </w:rPr>
        <w:t>一、课程性质及任务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科研训练是依照人才培养方案规定，培养学生利用学科知识进行科学研究探索的过程，是训练学生将学科知识转化为科研素养的主要环节。科研训练是学生第5学期学年论文课程的延伸，应在学生完成学年论文后，通过归纳总结特定领域的科学问题，结合专业知识展开科学探索。科研训练要求学生针对一个具体问题展开广泛实验尝试，并根据应用场景需求确定合理研究路线，是一门综合性实践课程。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32"/>
        </w:rPr>
        <w:t>二、课程目标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28"/>
        </w:rPr>
        <w:t>（一）具体目标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针对学科前沿与发展趋势，基于科学原理并运用科学方法对复杂工程问题开展研究，包括实验设计、数据处理与结论提炼。[毕业要求4 研究]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能够深入分析复杂问题，精准识别关键要素与挑战，提出有效解决方案，并以数据支撑分析过程与结果表达。[毕业要求2 问题分析]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能够针对不同问题需求，合理选择并使用信息技术工具。[毕业要求5 使用现代工具]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4. 能够针对复杂工程问题提出解决方案，在社会、安全、法律、文化与环境等约束下，设计满足需求的智能设备应用程序与嵌入式产品。[毕业要求3 设计/开发解决方案]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5. 能够就复杂工程问题与业界同行及社会公众开展有效沟通，包括撰写报告、设计文稿与陈述表达。[毕业要求10 沟通能力]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28"/>
        </w:rPr>
        <w:t>（二）课程目标与毕业要求关系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黑体" w:hAnsi="黑体" w:eastAsia="黑体"/>
                <w:b/>
                <w:sz w:val="22"/>
              </w:rPr>
              <w:t>课程目标</w:t>
            </w:r>
          </w:p>
        </w:tc>
        <w:tc>
          <w:tcPr>
            <w:tcW w:type="dxa" w:w="3022"/>
          </w:tcPr>
          <w:p>
            <w:r>
              <w:rPr>
                <w:rFonts w:ascii="黑体" w:hAnsi="黑体" w:eastAsia="黑体"/>
                <w:b/>
                <w:sz w:val="22"/>
              </w:rPr>
              <w:t>支撑毕业要求</w:t>
            </w:r>
          </w:p>
        </w:tc>
        <w:tc>
          <w:tcPr>
            <w:tcW w:type="dxa" w:w="3022"/>
          </w:tcPr>
          <w:p>
            <w:r>
              <w:rPr>
                <w:rFonts w:ascii="黑体" w:hAnsi="黑体" w:eastAsia="黑体"/>
                <w:b/>
                <w:sz w:val="22"/>
              </w:rPr>
              <w:t>具体支撑点</w:t>
            </w:r>
          </w:p>
        </w:tc>
      </w:tr>
      <w:tr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课程目标1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4.研究（S）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4.1 运用实验工具观察记录并分析数据；4.4 综合运用理论分析系统结构与功能并形成结果。</w:t>
            </w:r>
          </w:p>
        </w:tc>
      </w:tr>
      <w:tr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课程目标2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2.问题分析（S）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2.1 运用数学与自然科学概念表述复杂问题；2.2 选择感知与处理模型并达到应用要求。</w:t>
            </w:r>
          </w:p>
        </w:tc>
      </w:tr>
      <w:tr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课程目标3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5.使用现代工具（S）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5.2 选择并使用恰当技术、资源与现代工程工具解决复杂问题。</w:t>
            </w:r>
          </w:p>
        </w:tc>
      </w:tr>
      <w:tr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课程目标4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3.设计/开发解决方案（S）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3.2 掌握移动应用系统分析与设计方法。</w:t>
            </w:r>
          </w:p>
        </w:tc>
      </w:tr>
      <w:tr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课程目标5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10.沟通能力（S）</w:t>
            </w:r>
          </w:p>
        </w:tc>
        <w:tc>
          <w:tcPr>
            <w:tcW w:type="dxa" w:w="3022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21"/>
              </w:rPr>
              <w:t>10.3 将专业知识用于报告与文稿，能够清晰陈述与表达。</w:t>
            </w:r>
          </w:p>
        </w:tc>
      </w:tr>
    </w:tbl>
    <w:p/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32"/>
        </w:rPr>
        <w:t>三、课程学习内容与安排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黑体" w:hAnsi="黑体" w:eastAsia="黑体"/>
                <w:b/>
                <w:sz w:val="22"/>
              </w:rPr>
              <w:t>课程内容</w:t>
            </w:r>
          </w:p>
        </w:tc>
        <w:tc>
          <w:tcPr>
            <w:tcW w:type="dxa" w:w="2266"/>
          </w:tcPr>
          <w:p>
            <w:r>
              <w:rPr>
                <w:rFonts w:ascii="黑体" w:hAnsi="黑体" w:eastAsia="黑体"/>
                <w:b/>
                <w:sz w:val="22"/>
              </w:rPr>
              <w:t>支撑课程目标</w:t>
            </w:r>
          </w:p>
        </w:tc>
        <w:tc>
          <w:tcPr>
            <w:tcW w:type="dxa" w:w="2266"/>
          </w:tcPr>
          <w:p>
            <w:r>
              <w:rPr>
                <w:rFonts w:ascii="黑体" w:hAnsi="黑体" w:eastAsia="黑体"/>
                <w:b/>
                <w:sz w:val="22"/>
              </w:rPr>
              <w:t>教学方法</w:t>
            </w:r>
          </w:p>
        </w:tc>
        <w:tc>
          <w:tcPr>
            <w:tcW w:type="dxa" w:w="2266"/>
          </w:tcPr>
          <w:p>
            <w:r>
              <w:rPr>
                <w:rFonts w:ascii="黑体" w:hAnsi="黑体" w:eastAsia="黑体"/>
                <w:b/>
                <w:sz w:val="22"/>
              </w:rPr>
              <w:t>学时安排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1. 调研与选题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课程目标1、2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文献研读+讨论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2. 问题分析与系统设计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课程目标2、4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实验+讨论法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3. 原型开发与实验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课程目标3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实践+讨论法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4. 总结与汇报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课程目标5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讲授+演示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21"/>
              </w:rPr>
              <w:t>1周</w:t>
            </w:r>
          </w:p>
        </w:tc>
      </w:tr>
    </w:tbl>
    <w:p/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32"/>
        </w:rPr>
        <w:t>四、课题选择与教学要求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28"/>
        </w:rPr>
        <w:t>（一）课题选择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科研训练指导教师由院系按规定在环节启动前分配。本阶段由导师提出选题范围，研究问题应明确具体，尽量结合本地区、本学院教学科研生产中的实际技术开发项目。导师亦可结合学生专业基础、研究兴趣与资料积累确定方向与题目，确保题目具有新意、深度与难度，并尽量避免重复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建议选题方向包括：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（1）物联网终端与嵌入式应用开发：感知节点程序开发、传感器数据采集、外设控制与节点调试。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（2）物联网平台与数据应用开发：设备接入、数据解析、可视化与监控界面开发。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（3）人工智能与物联网融合应用：利用数据分析或机器学习开展状态判别与异常识别。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（4）物联网通信与网关协议技术：无线通信性能测试、异构数据汇聚、协议转换与数据转发。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（5）物联网轻量安全与系统容错技术：轻量身份校验、传输防护、节点故障识别与容错处理。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28"/>
        </w:rPr>
        <w:t>（二）教学要求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（1）根据课题任务制定合理可行的实践工作计划；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（2）开展调研并查阅文献，完成文献资料整理；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（3）设计实现方案并进行器件/技术选型，对比备选方案并论证可行性；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（4）完成系统原型开发或仿真实现，开展必要测试与实验，形成完整解决方案框架；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（5）按规范格式完成总结报告，内容包括需求、总体方案、实现过程、分析与结论等。</w:t>
      </w:r>
    </w:p>
    <w:p>
      <w:pPr>
        <w:spacing w:line="240" w:lineRule="auto" w:before="0" w:after="120"/>
        <w:jc w:val="left"/>
      </w:pPr>
      <w:r>
        <w:rPr>
          <w:rFonts w:ascii="黑体" w:hAnsi="黑体" w:eastAsia="黑体"/>
          <w:b/>
          <w:sz w:val="32"/>
        </w:rPr>
        <w:t>五、成绩评定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科研训练成绩分为优秀、良好、中等、及格、不及格五个等次，其中优秀比例不高于20%。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成绩由指导教师依据学生综合表现与总结报告质量综合评定。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成绩及格及以上者取得相应学分；不及格者须重修并及格后方可获得学分。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4. 有以下情形之一者应评定为不及格：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 xml:space="preserve">   （1）未按规定时间完成训练任务；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 xml:space="preserve">   （2）总结报告不符合要求或未开发出解决方案原型；</w:t>
      </w:r>
    </w:p>
    <w:p>
      <w:pPr>
        <w:spacing w:line="360" w:lineRule="auto"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 xml:space="preserve">   （3）存在抄袭、剽窃行为。</w:t>
      </w:r>
    </w:p>
    <w:p>
      <w:pPr>
        <w:spacing w:line="360" w:lineRule="auto" w:before="0" w:after="120"/>
        <w:ind w:firstLine="420"/>
        <w:jc w:val="left"/>
      </w:pPr>
      <w:r>
        <w:rPr>
          <w:rFonts w:ascii="楷体" w:hAnsi="楷体" w:eastAsia="楷体"/>
          <w:b w:val="0"/>
          <w:sz w:val="22"/>
        </w:rPr>
        <w:t>注：本大纲已按正式教学文档格式进行排版优化，可直接用于提交或再按学院模板微调。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