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e565dc72-37dc-4ca8-8d14-eb09e7bdde1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e565dc72-37dc-4ca8-8d14-eb09e7bdde1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06f395c2-65c7-49c3-af8f-c5d988fbbc9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f8e01ad9-90c4-484c-a23f-7826d550e8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dc569e69-ccfb-4a4b-bc42-f1d0550ebee4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_Toc27676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bookmarkStart w:id="19" w:name="_GoBack"/>
      <w:bookmarkEnd w:id="19"/>
      <w:r>
        <w:tab/>
      </w:r>
      <w:r>
        <w:fldChar w:fldCharType="begin"/>
      </w:r>
      <w:r>
        <w:instrText xml:space="preserve"> PAGEREF _Toc270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_Toc20676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_Toc19437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_Toc19437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_Toc6596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_Toc6596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_Toc14263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_Toc14119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_Toc14119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_Toc7663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_Toc7663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_Toc10107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_Toc18847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_Toc18847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_Toc32144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_Toc20113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_Toc20113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_Toc8512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_Toc8512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_Toc29584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_Toc29584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_Toc2865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7676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270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e817be8a-ac6b-434a-a6c0-9685f1e006c6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8b20231b-c7e3-4cd8-95cf-d86ca917f882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20676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9437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8b20231b-c7e3-4cd8-95cf-d86ca917f882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6d52f8c7-889b-42e5-a04b-f972e0bf13ae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6596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14263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4119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bookmarkStart w:id="8" w:name="_Toc16999"/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日仍为</w:t>
      </w:r>
      <w:r>
        <w:rPr>
          <w:rFonts w:hint="eastAsia" w:ascii="微软雅黑" w:hAnsi="微软雅黑" w:eastAsia="微软雅黑"/>
        </w:rPr>
        <w:t>Tinder项目</w:t>
      </w:r>
      <w:r>
        <w:rPr>
          <w:rFonts w:hint="eastAsia" w:ascii="微软雅黑" w:hAnsi="微软雅黑" w:eastAsia="微软雅黑"/>
          <w:lang w:val="en-US" w:eastAsia="zh-CN"/>
        </w:rPr>
        <w:t>的项目总结与验收阶段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总结开发过程中遇到的问题，并继续对代码进行debug。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9" w:name="_Toc7663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本日处于项目总结与验收阶段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5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最终项目源码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1" w:name="_Toc10107"/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18847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32144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参与人员项目共计4人，分别是张涵，陈子源，徐传旭，张莹，刘文佳。具体工时分布见表2。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张莹，刘文佳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项目开发总结报告v1.0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徐传旭，陈子源，张涵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编写《软件用户手册v1.0》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刘文佳，张莹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编写《项目进度报告v1.0》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检查并审核所有文档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参与人员项目共计5人，分别是胡品爵，董哲，杜少恒，王智超，张建鹏。具体工时分布见表3。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完善代码细节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代码debug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20113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8512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29584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次日仍为项目总结与验收</w:t>
      </w:r>
      <w:r>
        <w:rPr>
          <w:rFonts w:hint="eastAsia" w:ascii="微软雅黑" w:hAnsi="微软雅黑" w:eastAsia="微软雅黑"/>
        </w:rPr>
        <w:t>阶段，计划自2019年7月10日至2019年7月12日，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对项目开发过程进行总结，并面向用户编写用户手册，最后申请验收。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numId w:val="0"/>
        </w:numPr>
        <w:ind w:left="420" w:leftChars="20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申请验收。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2865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代码还存在许多细节错误，导致某些功能不能正常使用，《软件用户手册》的编写进展缓慢。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8220298"/>
    <w:multiLevelType w:val="singleLevel"/>
    <w:tmpl w:val="38220298"/>
    <w:lvl w:ilvl="0" w:tentative="0">
      <w:start w:val="1"/>
      <w:numFmt w:val="decimal"/>
      <w:lvlText w:val="（%1）"/>
      <w:lvlJc w:val="left"/>
    </w:lvl>
  </w:abstractNum>
  <w:abstractNum w:abstractNumId="3">
    <w:nsid w:val="79AF5AD0"/>
    <w:multiLevelType w:val="singleLevel"/>
    <w:tmpl w:val="79AF5AD0"/>
    <w:lvl w:ilvl="0" w:tentative="0">
      <w:start w:val="1"/>
      <w:numFmt w:val="decimal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27EC7"/>
    <w:rsid w:val="2907072E"/>
    <w:rsid w:val="593703CC"/>
    <w:rsid w:val="631B6934"/>
    <w:rsid w:val="6C6A5E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565dc72-37dc-4ca8-8d14-eb09e7bdde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65dc72-37dc-4ca8-8d14-eb09e7bdde18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6f395c2-65c7-49c3-af8f-c5d988fbbc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f395c2-65c7-49c3-af8f-c5d988fbbc97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f8e01ad9-90c4-484c-a23f-7826d550e8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01ad9-90c4-484c-a23f-7826d550e893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c569e69-ccfb-4a4b-bc42-f1d0550eb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569e69-ccfb-4a4b-bc42-f1d0550ebee4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b20231b-c7e3-4cd8-95cf-d86ca917f8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20231b-c7e3-4cd8-95cf-d86ca917f882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e817be8a-ac6b-434a-a6c0-9685f1e006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17be8a-ac6b-434a-a6c0-9685f1e006c6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6d52f8c7-889b-42e5-a04b-f972e0bf13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52f8c7-889b-42e5-a04b-f972e0bf13ae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青田</cp:lastModifiedBy>
  <dcterms:modified xsi:type="dcterms:W3CDTF">2019-07-10T02:34:44Z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