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_Toc11909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_Toc20934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_Toc20934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_Toc32294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_Toc32294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_Toc2375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_Toc2375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_Toc4685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_Toc6656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_Toc8974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_Toc16797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_Toc26422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_Toc10059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_Toc30301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_Toc13670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_Toc9473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_Toc31676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1909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0934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29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044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2072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fldChar w:fldCharType="begin"/>
      </w:r>
      <w:r>
        <w:instrText xml:space="preserve"> HYPERLINK "../../../../../../../数据库设计说明书（GB8567——88）.doc"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《数据库设计说明书（GB8567——88）》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237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4685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521466029"/>
      <w:bookmarkStart w:id="9" w:name="_Toc31963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521466030"/>
      <w:bookmarkStart w:id="11" w:name="_Toc6656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8974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i/>
        </w:rPr>
        <w:t>PostgreSQL: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-- https://www.postgresql.org/docs/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16797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521466034"/>
      <w:bookmarkStart w:id="17" w:name="_Toc26422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007610" cy="2883535"/>
            <wp:effectExtent l="0" t="0" r="2540" b="12065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521466035"/>
      <w:bookmarkStart w:id="19" w:name="_Toc10059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30301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13670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521466038"/>
      <w:bookmarkStart w:id="25" w:name="_Toc9473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521466039"/>
      <w:bookmarkStart w:id="27" w:name="_Toc3167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28" w:name="_GoBack"/>
      <w:bookmarkEnd w:id="28"/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375E22C8"/>
    <w:rsid w:val="6C9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5"/>
    <w:link w:val="11"/>
    <w:uiPriority w:val="99"/>
    <w:rPr>
      <w:sz w:val="18"/>
      <w:szCs w:val="18"/>
    </w:rPr>
  </w:style>
  <w:style w:type="character" w:customStyle="1" w:styleId="19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0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字符"/>
    <w:basedOn w:val="15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5"/>
    <w:semiHidden/>
    <w:uiPriority w:val="99"/>
    <w:rPr>
      <w:color w:val="808080"/>
    </w:rPr>
  </w:style>
  <w:style w:type="character" w:customStyle="1" w:styleId="28">
    <w:name w:val="日期 字符"/>
    <w:basedOn w:val="15"/>
    <w:link w:val="8"/>
    <w:semiHidden/>
    <w:qFormat/>
    <w:uiPriority w:val="99"/>
  </w:style>
  <w:style w:type="character" w:customStyle="1" w:styleId="29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3</TotalTime>
  <ScaleCrop>false</ScaleCrop>
  <LinksUpToDate>false</LinksUpToDate>
  <CharactersWithSpaces>3723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2019-07-04T03:12:45Z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