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数据库</w:t>
      </w:r>
      <w:r>
        <w:rPr>
          <w:rFonts w:ascii="微软雅黑" w:hAnsi="微软雅黑" w:eastAsia="微软雅黑"/>
          <w:b/>
          <w:sz w:val="84"/>
          <w:szCs w:val="84"/>
        </w:rPr>
        <w:t>(</w:t>
      </w:r>
      <w:r>
        <w:rPr>
          <w:rFonts w:hint="eastAsia" w:ascii="微软雅黑" w:hAnsi="微软雅黑" w:eastAsia="微软雅黑"/>
          <w:b/>
          <w:sz w:val="84"/>
          <w:szCs w:val="84"/>
        </w:rPr>
        <w:t>顶层</w:t>
      </w:r>
      <w:r>
        <w:rPr>
          <w:rFonts w:ascii="微软雅黑" w:hAnsi="微软雅黑" w:eastAsia="微软雅黑"/>
          <w:b/>
          <w:sz w:val="84"/>
          <w:szCs w:val="84"/>
        </w:rPr>
        <w:t>)</w:t>
      </w:r>
      <w:r>
        <w:rPr>
          <w:rFonts w:hint="eastAsia" w:ascii="微软雅黑" w:hAnsi="微软雅黑" w:eastAsia="微软雅黑"/>
          <w:b/>
          <w:sz w:val="84"/>
          <w:szCs w:val="84"/>
        </w:rPr>
        <w:t>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杜少恒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月</w:t>
      </w: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b/>
        </w:rPr>
      </w:pPr>
    </w:p>
    <w:tbl>
      <w:tblPr>
        <w:tblStyle w:val="18"/>
        <w:tblW w:w="78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_Toc11909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_Toc11909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_Toc20934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_Toc20934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_Toc32294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_Toc32294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_Toc12044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_Toc12044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_Toc20729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_Toc20729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_Toc2375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r>
        <w:tab/>
      </w:r>
      <w:r>
        <w:fldChar w:fldCharType="begin"/>
      </w:r>
      <w:r>
        <w:instrText xml:space="preserve"> PAGEREF _Toc2375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_Toc4685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2.1标识符和状态</w:t>
      </w:r>
      <w:r>
        <w:tab/>
      </w:r>
      <w:r>
        <w:fldChar w:fldCharType="begin"/>
      </w:r>
      <w:r>
        <w:instrText xml:space="preserve"> PAGEREF _Toc4685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_Toc31963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2.2使用它的程序</w:t>
      </w:r>
      <w:r>
        <w:tab/>
      </w:r>
      <w:r>
        <w:fldChar w:fldCharType="begin"/>
      </w:r>
      <w:r>
        <w:instrText xml:space="preserve"> PAGEREF _Toc31963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_Toc6656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2.3约定</w:t>
      </w:r>
      <w:r>
        <w:tab/>
      </w:r>
      <w:r>
        <w:fldChar w:fldCharType="begin"/>
      </w:r>
      <w:r>
        <w:instrText xml:space="preserve"> PAGEREF _Toc6656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_Toc8974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2.4专门指导</w:t>
      </w:r>
      <w:r>
        <w:tab/>
      </w:r>
      <w:r>
        <w:fldChar w:fldCharType="begin"/>
      </w:r>
      <w:r>
        <w:instrText xml:space="preserve"> PAGEREF _Toc8974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_Toc16797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3结构设计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_Toc26422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3.1概念结构设计</w:t>
      </w:r>
      <w:r>
        <w:tab/>
      </w:r>
      <w:r>
        <w:fldChar w:fldCharType="begin"/>
      </w:r>
      <w:r>
        <w:instrText xml:space="preserve"> PAGEREF _Toc26422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_Toc10059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3.2逻辑结构设计</w:t>
      </w:r>
      <w:r>
        <w:tab/>
      </w:r>
      <w:r>
        <w:fldChar w:fldCharType="begin"/>
      </w:r>
      <w:r>
        <w:instrText xml:space="preserve"> PAGEREF _Toc10059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_Toc30301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3.3物理结构设计</w:t>
      </w:r>
      <w:r>
        <w:tab/>
      </w:r>
      <w:r>
        <w:fldChar w:fldCharType="begin"/>
      </w:r>
      <w:r>
        <w:instrText xml:space="preserve"> PAGEREF _Toc30301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_Toc13670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4运用设计</w:t>
      </w:r>
      <w:r>
        <w:tab/>
      </w:r>
      <w:r>
        <w:fldChar w:fldCharType="begin"/>
      </w:r>
      <w:r>
        <w:instrText xml:space="preserve"> PAGEREF _Toc13670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_Toc9473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4.1数据字典设计</w:t>
      </w:r>
      <w:r>
        <w:tab/>
      </w:r>
      <w:r>
        <w:fldChar w:fldCharType="begin"/>
      </w:r>
      <w:r>
        <w:instrText xml:space="preserve"> PAGEREF _Toc9473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_Toc31676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4.2安全保密设计</w:t>
      </w:r>
      <w:r>
        <w:tab/>
      </w:r>
      <w:r>
        <w:fldChar w:fldCharType="begin"/>
      </w:r>
      <w:r>
        <w:instrText xml:space="preserve"> PAGEREF _Toc31676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1909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0934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设计说明》。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英文名称：“Datab</w:t>
      </w:r>
      <w:r>
        <w:rPr>
          <w:rFonts w:ascii="微软雅黑" w:hAnsi="微软雅黑" w:eastAsia="微软雅黑"/>
        </w:rPr>
        <w:t>ase</w:t>
      </w:r>
      <w:r>
        <w:rPr>
          <w:rFonts w:hint="eastAsia" w:ascii="微软雅黑" w:hAnsi="微软雅黑" w:eastAsia="微软雅黑"/>
        </w:rPr>
        <w:t xml:space="preserve"> D</w:t>
      </w:r>
      <w:r>
        <w:rPr>
          <w:rFonts w:ascii="微软雅黑" w:hAnsi="微软雅黑" w:eastAsia="微软雅黑"/>
        </w:rPr>
        <w:t>esign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Documentation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）”。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0.1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32294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2044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p>
      <w:pPr>
        <w:ind w:firstLine="420" w:firstLineChars="200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本文档为了以后编码、测试以及维护阶段的后台数据的存储做准备。应用于系统开发前期，为后期数据库设计指引方向。。</w:t>
          </w:r>
        </w:sdtContent>
      </w:sdt>
    </w:p>
    <w:p>
      <w:pPr>
        <w:pStyle w:val="3"/>
        <w:rPr>
          <w:rFonts w:ascii="微软雅黑" w:hAnsi="微软雅黑" w:eastAsia="微软雅黑"/>
        </w:rPr>
      </w:pPr>
      <w:bookmarkStart w:id="4" w:name="_Toc20729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《NPUSS-Tinder-SDS-1.0(E) 软件文档规范》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hint="eastAsia" w:ascii="微软雅黑" w:hAnsi="微软雅黑" w:eastAsia="微软雅黑"/>
        </w:rPr>
        <w:t>NPUSS-Tinder-DNR-1.0(E) 文档编号规则》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《NPUSS-Tinder-SRS-1.0(E) 软件需求规格说明书》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hint="eastAsia" w:ascii="微软雅黑" w:hAnsi="微软雅黑" w:eastAsia="微软雅黑"/>
        </w:rPr>
        <w:t>NPUSS-Tinder-SFT-0.1 软件功能列表》</w:t>
      </w:r>
      <w:r>
        <w:rPr>
          <w:rFonts w:hint="eastAsia" w:ascii="微软雅黑" w:hAnsi="微软雅黑" w:eastAsia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5" w:name="_Toc2375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4685"/>
      <w:bookmarkStart w:id="7" w:name="_Toc521466028"/>
      <w:r>
        <w:rPr>
          <w:rFonts w:hint="eastAsia" w:ascii="微软雅黑" w:hAnsi="微软雅黑" w:eastAsia="微软雅黑"/>
        </w:rPr>
        <w:t>2.1标识符和状态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群成员，</w:t>
      </w:r>
      <w:r>
        <w:rPr>
          <w:rFonts w:hint="eastAsia" w:ascii="微软雅黑" w:hAnsi="微软雅黑" w:eastAsia="微软雅黑"/>
        </w:rPr>
        <w:t>包含其相关的属性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无主键、</w:t>
      </w:r>
      <w:r>
        <w:rPr>
          <w:rFonts w:hint="eastAsia" w:ascii="微软雅黑" w:hAnsi="微软雅黑" w:eastAsia="微软雅黑"/>
        </w:rPr>
        <w:t>无外键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group_message：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群聊天消息</w:t>
      </w:r>
      <w:r>
        <w:rPr>
          <w:rFonts w:hint="eastAsia" w:ascii="微软雅黑" w:hAnsi="微软雅黑" w:eastAsia="微软雅黑"/>
        </w:rPr>
        <w:t>,包含</w:t>
      </w:r>
      <w:r>
        <w:rPr>
          <w:rFonts w:hint="eastAsia" w:ascii="微软雅黑" w:hAnsi="微软雅黑" w:eastAsia="微软雅黑"/>
          <w:lang w:val="en-US" w:eastAsia="zh-CN"/>
        </w:rPr>
        <w:t>其相关的属性，无主键、外键，group_name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用户，包含用户的相关属性，无主键、外键，user_name不能为空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user_message：表示用户间聊天消息，包含其相关属性，无主键、外键，fromusername、tousername不能为空</w:t>
      </w:r>
    </w:p>
    <w:p>
      <w:pPr>
        <w:pStyle w:val="3"/>
        <w:rPr>
          <w:rFonts w:hint="eastAsia" w:ascii="微软雅黑" w:hAnsi="微软雅黑" w:eastAsia="微软雅黑"/>
        </w:rPr>
      </w:pPr>
      <w:bookmarkStart w:id="8" w:name="_Toc31963"/>
      <w:bookmarkStart w:id="9" w:name="_Toc521466029"/>
      <w:r>
        <w:rPr>
          <w:rFonts w:hint="eastAsia" w:ascii="微软雅黑" w:hAnsi="微软雅黑" w:eastAsia="微软雅黑"/>
        </w:rPr>
        <w:t>2.2使用它的程序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Tinder即时通信系统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0.1</w:t>
      </w:r>
    </w:p>
    <w:p>
      <w:pPr>
        <w:pStyle w:val="3"/>
        <w:rPr>
          <w:rFonts w:ascii="微软雅黑" w:hAnsi="微软雅黑" w:eastAsia="微软雅黑"/>
        </w:rPr>
      </w:pPr>
      <w:bookmarkStart w:id="10" w:name="_Toc6656"/>
      <w:bookmarkStart w:id="11" w:name="_Toc521466030"/>
      <w:r>
        <w:rPr>
          <w:rFonts w:hint="eastAsia" w:ascii="微软雅黑" w:hAnsi="微软雅黑" w:eastAsia="微软雅黑"/>
        </w:rPr>
        <w:t>2.3约定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如无备注，所有字段都设置</w:t>
      </w:r>
      <w:r>
        <w:rPr>
          <w:rFonts w:ascii="微软雅黑" w:hAnsi="微软雅黑" w:eastAsia="微软雅黑"/>
        </w:rPr>
        <w:t>NOT NULL</w:t>
      </w:r>
      <w:r>
        <w:rPr>
          <w:rFonts w:hint="eastAsia" w:ascii="微软雅黑" w:hAnsi="微软雅黑" w:eastAsia="微软雅黑"/>
        </w:rPr>
        <w:t>，并设置默认值；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所有的数字类型字段，都必须设置一个默认值，并设为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 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varchar</w:t>
      </w:r>
      <w:r>
        <w:rPr>
          <w:rFonts w:hint="eastAsia" w:ascii="微软雅黑" w:hAnsi="微软雅黑" w:eastAsia="微软雅黑"/>
        </w:rPr>
        <w:t>类型字段的程序处理，请验证用户输入，不要超出其预设的长度；</w:t>
      </w:r>
    </w:p>
    <w:p>
      <w:pPr>
        <w:pStyle w:val="3"/>
        <w:rPr>
          <w:rFonts w:hint="eastAsia" w:ascii="微软雅黑" w:hAnsi="微软雅黑" w:eastAsia="微软雅黑"/>
        </w:rPr>
      </w:pPr>
      <w:bookmarkStart w:id="12" w:name="_Toc521466031"/>
      <w:bookmarkStart w:id="13" w:name="_Toc8974"/>
      <w:r>
        <w:rPr>
          <w:rFonts w:hint="eastAsia" w:ascii="微软雅黑" w:hAnsi="微软雅黑" w:eastAsia="微软雅黑"/>
        </w:rPr>
        <w:t>2.4专门指导</w:t>
      </w:r>
      <w:bookmarkEnd w:id="12"/>
      <w:bookmarkEnd w:id="13"/>
      <w:bookmarkStart w:id="28" w:name="_GoBack"/>
      <w:bookmarkEnd w:id="28"/>
    </w:p>
    <w:p>
      <w:pPr>
        <w:ind w:firstLine="420" w:firstLineChars="200"/>
        <w:rPr>
          <w:rFonts w:hint="eastAsia"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lang w:val="en-US" w:eastAsia="zh-CN"/>
        </w:rPr>
        <w:t>MariaDB</w:t>
      </w:r>
      <w:r>
        <w:rPr>
          <w:rFonts w:hint="eastAsia" w:ascii="微软雅黑" w:hAnsi="微软雅黑" w:eastAsia="微软雅黑"/>
          <w:i/>
        </w:rPr>
        <w:t>: Documentation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-- </w:t>
      </w:r>
      <w:r>
        <w:rPr>
          <w:rFonts w:ascii="微软雅黑" w:hAnsi="微软雅黑" w:eastAsia="微软雅黑"/>
          <w:i/>
          <w:iCs/>
        </w:rPr>
        <w:fldChar w:fldCharType="begin"/>
      </w:r>
      <w:r>
        <w:rPr>
          <w:rFonts w:ascii="微软雅黑" w:hAnsi="微软雅黑" w:eastAsia="微软雅黑"/>
          <w:i/>
          <w:iCs/>
        </w:rPr>
        <w:instrText xml:space="preserve"> HYPERLINK "https://www.mariadb.org/docs/" </w:instrText>
      </w:r>
      <w:r>
        <w:rPr>
          <w:rFonts w:ascii="微软雅黑" w:hAnsi="微软雅黑" w:eastAsia="微软雅黑"/>
          <w:i/>
          <w:iCs/>
        </w:rPr>
        <w:fldChar w:fldCharType="separate"/>
      </w:r>
      <w:r>
        <w:rPr>
          <w:rStyle w:val="16"/>
          <w:rFonts w:ascii="微软雅黑" w:hAnsi="微软雅黑" w:eastAsia="微软雅黑"/>
          <w:i/>
          <w:iCs/>
        </w:rPr>
        <w:t>https://www.</w:t>
      </w:r>
      <w:r>
        <w:rPr>
          <w:rStyle w:val="16"/>
          <w:rFonts w:hint="eastAsia" w:ascii="微软雅黑" w:hAnsi="微软雅黑" w:eastAsia="微软雅黑"/>
          <w:i/>
          <w:iCs/>
          <w:lang w:val="en-US" w:eastAsia="zh-CN"/>
        </w:rPr>
        <w:t>mariadb</w:t>
      </w:r>
      <w:r>
        <w:rPr>
          <w:rStyle w:val="16"/>
          <w:rFonts w:ascii="微软雅黑" w:hAnsi="微软雅黑" w:eastAsia="微软雅黑"/>
          <w:i/>
          <w:iCs/>
        </w:rPr>
        <w:t>.org/docs/</w:t>
      </w:r>
      <w:r>
        <w:rPr>
          <w:rFonts w:ascii="微软雅黑" w:hAnsi="微软雅黑" w:eastAsia="微软雅黑"/>
          <w:i/>
          <w:iCs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14" w:name="_Toc521466033"/>
      <w:bookmarkStart w:id="15" w:name="_Toc16797"/>
      <w:r>
        <w:rPr>
          <w:rFonts w:hint="eastAsia" w:ascii="微软雅黑" w:hAnsi="微软雅黑" w:eastAsia="微软雅黑"/>
        </w:rPr>
        <w:t>3结构设计</w:t>
      </w:r>
      <w:bookmarkEnd w:id="14"/>
      <w:bookmarkEnd w:id="15"/>
    </w:p>
    <w:p>
      <w:pPr>
        <w:pStyle w:val="3"/>
        <w:rPr>
          <w:rFonts w:hint="eastAsia" w:ascii="微软雅黑" w:hAnsi="微软雅黑" w:eastAsia="微软雅黑"/>
        </w:rPr>
      </w:pPr>
      <w:bookmarkStart w:id="16" w:name="_Toc521466034"/>
      <w:bookmarkStart w:id="17" w:name="_Toc26422"/>
      <w:r>
        <w:rPr>
          <w:rFonts w:hint="eastAsia" w:ascii="微软雅黑" w:hAnsi="微软雅黑" w:eastAsia="微软雅黑"/>
        </w:rPr>
        <w:t>3.1概念结构设计</w:t>
      </w:r>
      <w:bookmarkEnd w:id="16"/>
      <w:bookmarkEnd w:id="1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ER图：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5007610" cy="2883535"/>
            <wp:effectExtent l="0" t="0" r="2540" b="12065"/>
            <wp:docPr id="14" name="图片 14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/>
        </w:rPr>
      </w:pPr>
      <w:bookmarkStart w:id="18" w:name="_Toc10059"/>
      <w:bookmarkStart w:id="19" w:name="_Toc521466035"/>
      <w:r>
        <w:rPr>
          <w:rFonts w:hint="eastAsia" w:ascii="微软雅黑" w:hAnsi="微软雅黑" w:eastAsia="微软雅黑"/>
        </w:rPr>
        <w:t>3.2逻辑结构设计</w:t>
      </w:r>
      <w:bookmarkEnd w:id="18"/>
      <w:bookmarkEnd w:id="19"/>
    </w:p>
    <w:p>
      <w:r>
        <w:rPr>
          <w:rFonts w:hint="eastAsia" w:eastAsia="微软雅黑"/>
          <w:lang w:eastAsia="zh-CN"/>
        </w:rPr>
        <w:drawing>
          <wp:inline distT="0" distB="0" distL="114300" distR="114300">
            <wp:extent cx="4859655" cy="2964815"/>
            <wp:effectExtent l="0" t="0" r="17145" b="698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 w:ascii="微软雅黑" w:hAnsi="微软雅黑" w:eastAsia="微软雅黑"/>
        </w:rPr>
        <w:t>逻辑结构设计如上。</w:t>
      </w:r>
    </w:p>
    <w:p>
      <w:pPr>
        <w:pStyle w:val="3"/>
        <w:rPr>
          <w:rFonts w:hint="eastAsia" w:ascii="微软雅黑" w:hAnsi="微软雅黑" w:eastAsia="微软雅黑"/>
        </w:rPr>
      </w:pPr>
      <w:bookmarkStart w:id="20" w:name="_Toc30301"/>
      <w:bookmarkStart w:id="21" w:name="_Toc521466036"/>
      <w:r>
        <w:rPr>
          <w:rFonts w:hint="eastAsia" w:ascii="微软雅黑" w:hAnsi="微软雅黑" w:eastAsia="微软雅黑"/>
        </w:rPr>
        <w:t>3.3物理结构设计</w:t>
      </w:r>
      <w:bookmarkEnd w:id="20"/>
      <w:bookmarkEnd w:id="2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为了设计数据库的物理结构，设计人员必须充分了解所用</w:t>
      </w:r>
      <w:r>
        <w:rPr>
          <w:rFonts w:ascii="微软雅黑" w:hAnsi="微软雅黑" w:eastAsia="微软雅黑"/>
        </w:rPr>
        <w:t>DBMS</w:t>
      </w:r>
      <w:r>
        <w:rPr>
          <w:rFonts w:hint="eastAsia" w:ascii="微软雅黑" w:hAnsi="微软雅黑" w:eastAsia="微软雅黑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在这里使用聚簇作为索引的查找方法。第一，能够大大提高按聚簇码进行查询的效率，降低查询速度。第二，聚簇的使用能够节省存储空间。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2" w:name="_Toc521466037"/>
      <w:bookmarkStart w:id="23" w:name="_Toc13670"/>
      <w:r>
        <w:rPr>
          <w:rFonts w:hint="eastAsia" w:ascii="微软雅黑" w:hAnsi="微软雅黑" w:eastAsia="微软雅黑"/>
        </w:rPr>
        <w:t>4运用设计</w:t>
      </w:r>
      <w:bookmarkEnd w:id="22"/>
      <w:bookmarkEnd w:id="23"/>
    </w:p>
    <w:p>
      <w:pPr>
        <w:pStyle w:val="3"/>
        <w:rPr>
          <w:rFonts w:hint="eastAsia" w:ascii="微软雅黑" w:hAnsi="微软雅黑" w:eastAsia="微软雅黑"/>
        </w:rPr>
      </w:pPr>
      <w:bookmarkStart w:id="24" w:name="_Toc9473"/>
      <w:bookmarkStart w:id="25" w:name="_Toc521466038"/>
      <w:r>
        <w:rPr>
          <w:rFonts w:hint="eastAsia" w:ascii="微软雅黑" w:hAnsi="微软雅黑" w:eastAsia="微软雅黑"/>
        </w:rPr>
        <w:t>4.1数据字典设计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user_message：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31676"/>
      <w:bookmarkStart w:id="27" w:name="_Toc5214660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4.2安全保密设计</w:t>
      </w:r>
      <w:bookmarkEnd w:id="26"/>
      <w:bookmarkEnd w:id="27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表信息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</w:t>
            </w:r>
            <w:r>
              <w:rPr>
                <w:rFonts w:hint="eastAsia" w:ascii="微软雅黑" w:hAnsi="微软雅黑" w:eastAsia="微软雅黑"/>
              </w:rPr>
              <w:t>者、管理员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群用户</w:t>
            </w:r>
            <w:r>
              <w:rPr>
                <w:rFonts w:hint="eastAsia" w:ascii="微软雅黑" w:hAnsi="微软雅黑" w:eastAsia="微软雅黑"/>
              </w:rPr>
              <w:t>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发送用户、接收用户、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</w:t>
    </w:r>
    <w:r>
      <w:rPr>
        <w:rFonts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</w:rPr>
      <w:t>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ascii="微软雅黑" w:hAnsi="微软雅黑" w:eastAsia="微软雅黑"/>
      </w:rPr>
      <w:t xml:space="preserve">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>数据库（顶层）设计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2C15511C"/>
    <w:rsid w:val="375E22C8"/>
    <w:rsid w:val="6C9D6F86"/>
    <w:rsid w:val="6E0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character" w:customStyle="1" w:styleId="21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5"/>
    <w:semiHidden/>
    <w:qFormat/>
    <w:uiPriority w:val="99"/>
    <w:rPr>
      <w:color w:val="808080"/>
    </w:rPr>
  </w:style>
  <w:style w:type="character" w:customStyle="1" w:styleId="29">
    <w:name w:val="日期 字符"/>
    <w:basedOn w:val="15"/>
    <w:link w:val="8"/>
    <w:semiHidden/>
    <w:qFormat/>
    <w:uiPriority w:val="99"/>
  </w:style>
  <w:style w:type="character" w:customStyle="1" w:styleId="30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bf9026-a87d-413d-9a42-c5b51652765b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7277c-fb04-4552-aa48-38afcb606956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bec69-6aea-4961-a796-edf7c1498d54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91289C884F75411ABE5EF8617DF508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6EEF-E3B6-E744-B475-DCF730CD1B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12</Pages>
  <Words>556</Words>
  <Characters>3174</Characters>
  <Lines>26</Lines>
  <Paragraphs>7</Paragraphs>
  <TotalTime>6</TotalTime>
  <ScaleCrop>false</ScaleCrop>
  <LinksUpToDate>false</LinksUpToDate>
  <CharactersWithSpaces>3723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法国冠军</cp:lastModifiedBy>
  <cp:lastPrinted>2019-03-26T11:52:00Z</cp:lastPrinted>
  <dcterms:modified xsi:type="dcterms:W3CDTF">2019-07-09T01:38:57Z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