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IT Security &amp; Remote Work Policy</w:t>
      </w:r>
    </w:p>
    <w:p/>
    <w:p>
      <w:pPr>
        <w:pStyle w:val="Heading1"/>
      </w:pPr>
      <w:r>
        <w:t xml:space="preserve">1. VPN and Network Access</w:t>
      </w:r>
    </w:p>
    <w:p>
      <w:r>
        <w:t xml:space="preserve">All employees connecting to internal company systems from outside the office network must use the company-issued VPN client. VPN access is provisioned automatically on the first working day and must be renewed every 12 months through a re-authentication request to the IT helpdesk.</w:t>
      </w:r>
    </w:p>
    <w:p>
      <w:r>
        <w:t xml:space="preserve">Split-tunneling is disabled by default for all VPN profiles, meaning all internet traffic during an active VPN session is routed through company infrastructure. Employees requiring split-tunneling for specific business reasons must submit a request to the Security team for approval.</w:t>
      </w:r>
    </w:p>
    <w:p>
      <w:r>
        <w:t xml:space="preserve">VPN sessions automatically time out after 10 hours of continuous connection and must be re-established. Failed VPN login attempts exceeding 5 in a 30-minute window will temporarily lock the account for 15 minutes.</w:t>
      </w:r>
    </w:p>
    <w:p>
      <w:pPr>
        <w:pStyle w:val="Heading1"/>
      </w:pPr>
      <w:r>
        <w:t xml:space="preserve">2. Device and Endpoint Policy</w:t>
      </w:r>
    </w:p>
    <w:p>
      <w:r>
        <w:t xml:space="preserve">Company-issued laptops must have full-disk encryption enabled and the company's endpoint detection and response (EDR) agent installed before first use. IT will verify this configuration during the onboarding device handover.</w:t>
      </w:r>
    </w:p>
    <w:p>
      <w:r>
        <w:t xml:space="preserve">Personal devices (BYOD) may be used to access email and calendar only, through the approved mobile device management (MDM) profile. BYOD devices are not permitted to access source code repositories, production databases, or internal admin panels.</w:t>
      </w:r>
    </w:p>
    <w:p>
      <w:r>
        <w:t xml:space="preserve">Lost or stolen devices must be reported to the IT Security team within 2 hours of discovery. Failure to report within 24 hours may result in the employee being held liable for any resulting data exposure, per the employment agreement.</w:t>
      </w:r>
    </w:p>
    <w:p>
      <w:pPr>
        <w:pStyle w:val="Heading1"/>
      </w:pPr>
      <w:r>
        <w:t xml:space="preserve">3. Remote Work Eligibility and Guidelines</w:t>
      </w:r>
    </w:p>
    <w:p>
      <w:r>
        <w:t xml:space="preserve">Employees may work remotely up to 3 days per week without prior approval, provided their role is designated as 'remote-eligible' by their department head. Fully remote arrangements (5 days/week) require written approval from both the reporting manager and HR business partner.</w:t>
      </w:r>
    </w:p>
    <w:p>
      <w:r>
        <w:t xml:space="preserve">Remote work from outside the employee's registered home country requires advance approval at least 15 working days prior, due to tax and compliance implications, and is capped at 30 days per calendar year.</w:t>
      </w:r>
    </w:p>
    <w:p>
      <w:r>
        <w:t xml:space="preserve">Employees working remotely are expected to be reachable during core collaboration hours of 11:00 AM to 4:00 PM local time and must maintain a stable internet connection of at least 20 Mbps for video calls.</w:t>
      </w:r>
    </w:p>
    <w:p>
      <w:pPr>
        <w:pStyle w:val="Heading1"/>
      </w:pPr>
      <w:r>
        <w:t xml:space="preserve">4. Data Handling and Classification</w:t>
      </w:r>
    </w:p>
    <w:p>
      <w:r>
        <w:t xml:space="preserve">All company data is classified into three tiers: Public, Internal, and Restricted. Restricted data (customer PII, financial records, source code) must never be stored on personal devices, personal cloud storage, or transmitted over unencrypted channels.</w:t>
      </w:r>
    </w:p>
    <w:p>
      <w:r>
        <w:t xml:space="preserve">Employees handling Restricted data must complete the annual Data Handling Certification within 30 days of a new hire's start date, and recertify annually thereafter. Non-completion beyond the deadline results in automatic revocation of access to Restricted systems until certification is complete.</w:t>
      </w:r>
    </w:p>
    <w:p>
      <w:r>
        <w:t xml:space="preserve">Printing of Restricted or Internal documents is discouraged; where necessary, printed copies must be collected immediately from shared printers and shredded after use rather than discarded in regular waste bins.</w:t>
      </w:r>
    </w:p>
    <w:p>
      <w:pPr>
        <w:pStyle w:val="Heading1"/>
      </w:pPr>
      <w:r>
        <w:t xml:space="preserve">5. Security Incident Reporting</w:t>
      </w:r>
    </w:p>
    <w:p>
      <w:r>
        <w:t xml:space="preserve">Any suspected security incident, including phishing emails, suspicious account activity, or unauthorized access, must be reported immediately to security@company.internal or via the #security-incidents channel, and no later than 1 hour after discovery for active/ongoing incidents.</w:t>
      </w:r>
    </w:p>
    <w:p>
      <w:r>
        <w:t xml:space="preserve">Employees should never attempt to independently investigate or remediate a suspected security incident; doing so may destroy forensic evidence needed for the security team's investigation.</w:t>
      </w:r>
    </w:p>
    <w:p>
      <w:r>
        <w:t xml:space="preserve">The security team commits to acknowledging all reported incidents within 30 minutes during business hours, and provides an initial containment update within 4 hours for confirmed incidents.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2026-09-13T09:11:38.683Z</dcterms:created>
  <dcterms:modified xsi:type="dcterms:W3CDTF">2026-09-13T09:11:38.695Z</dcterms:modified>
</cp:coreProperties>
</file>

<file path=docProps/custom.xml><?xml version="1.0" encoding="utf-8"?>
<Properties xmlns="http://schemas.openxmlformats.org/officeDocument/2006/custom-properties" xmlns:vt="http://schemas.openxmlformats.org/officeDocument/2006/docPropsVTypes"/>
</file>