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 年海外具身机器人市场机会</w:t>
      </w:r>
    </w:p>
    <w:p>
      <w:pPr>
        <w:pStyle w:val="Subtitle"/>
      </w:pPr>
      <w:r>
        <w:t>BPI 管理层报告｜战略审议版，定量数据待补齐</w:t>
      </w:r>
    </w:p>
    <w:p>
      <w:r>
        <w:rPr>
          <w:b w:val="0"/>
        </w:rPr>
        <w:t>编制视角：深圳倍特力 BPI 海外市场经理。研究日期：2026 年 10 月 13 日，北京时间。遵循仓库 AGENTS.md：优先海外市场，不虚构数据，区分事实、估算与假设，并解释机会与 BPI 产品的关系。</w:t>
      </w:r>
    </w:p>
    <w:p>
      <w:r>
        <w:rPr>
          <w:b w:val="0"/>
        </w:rPr>
      </w:r>
      <w:r>
        <w:rPr>
          <w:b/>
        </w:rPr>
        <w:t>使用边界：本版可用于讨论产品方向、客户筛选和验证资源；不可用于宣称已验证全球市场规模、2026 年出货量、贸易排名或确定销售预算。</w:t>
      </w:r>
      <w:r>
        <w:rPr>
          <w:b w:val="0"/>
        </w:rPr>
        <w:t xml:space="preserve"> IFR、厂商官网及政府贸易数据库访问受到当前网络策略限制，已尝试访问的页面返回代理 403。已取得 10 份可追溯技术与分类资料，保留固定版本链接及原文。尚未取得可靠的市场规模、出货统计与进出口金额，相关栏目明确留缺，不用预测、融资、产能或假设替代实绩。其他列入待核验清单的网站不代表已经逐一访问。</w:t>
      </w:r>
    </w:p>
    <w:p>
      <w:r>
        <w:rPr>
          <w:b w:val="0"/>
        </w:rPr>
        <w:t>本报告标签：</w:t>
      </w:r>
      <w:r>
        <w:rPr>
          <w:b/>
        </w:rPr>
        <w:t>[事实]</w:t>
      </w:r>
      <w:r>
        <w:rPr>
          <w:b w:val="0"/>
        </w:rPr>
        <w:t>＝本次读取资料直接支持；</w:t>
      </w:r>
      <w:r>
        <w:rPr>
          <w:b/>
        </w:rPr>
        <w:t>[推导]</w:t>
      </w:r>
      <w:r>
        <w:rPr>
          <w:b w:val="0"/>
        </w:rPr>
        <w:t>＝按公开公式从明确输入计算；</w:t>
      </w:r>
      <w:r>
        <w:rPr>
          <w:b/>
        </w:rPr>
        <w:t>[工程假设]</w:t>
      </w:r>
      <w:r>
        <w:rPr>
          <w:b w:val="0"/>
        </w:rPr>
        <w:t>＝供设计讨论的输入，需客户验证；</w:t>
      </w:r>
      <w:r>
        <w:rPr>
          <w:b/>
        </w:rPr>
        <w:t>[战略判断]</w:t>
      </w:r>
      <w:r>
        <w:rPr>
          <w:b w:val="0"/>
        </w:rPr>
        <w:t>＝分析建议，非统计事实；</w:t>
      </w:r>
      <w:r>
        <w:rPr>
          <w:b/>
        </w:rPr>
        <w:t>[待核验]</w:t>
      </w:r>
      <w:r>
        <w:rPr>
          <w:b w:val="0"/>
        </w:rPr>
        <w:t>＝尚未取得可用证据。</w:t>
      </w:r>
    </w:p>
    <w:p>
      <w:pPr>
        <w:pStyle w:val="Heading1"/>
      </w:pPr>
      <w:r>
        <w:t>1. 执行摘要与管理层决策</w:t>
      </w:r>
    </w:p>
    <w:p>
      <w:r>
        <w:rPr>
          <w:b w:val="0"/>
        </w:rPr>
      </w:r>
      <w:r>
        <w:rPr>
          <w:b/>
        </w:rPr>
        <w:t>[战略判断] 建议 BPI 进入海外机器人电池的项目验证阶段，优先开发轮式移动操作平台与工业移动平台的定制电池组；对四足及人形机器人采用小规模联合开发，不以未经核验的量产计划安排专用产能。</w:t>
      </w:r>
      <w:r>
        <w:rPr>
          <w:b w:val="0"/>
        </w:rPr>
        <w:t xml:space="preserve"> 对狭义具身智能业务，优先选择具有感知、规划和操作能力的移动机器人；传统 AMR/UGV 作为相邻的电池客户池单独管理，不能把它们全部计入狭义具身智能市场。</w:t>
      </w:r>
    </w:p>
    <w:p>
      <w:r>
        <w:rPr>
          <w:b w:val="0"/>
        </w:rPr>
        <w:t>对 BPI 而言，可交付价值应是“电芯＋结构＋BMS＋整机通信＋充电/换电兼容＋追溯与售后”的系统能力。仅凭现有锂聚合物、LiFePO4 和电池组产品线，不能认定 BPI 已满足机器人脉冲功率、跌倒冲击、热设计或客户认证要求。需要内部能力审查与样机验证。</w:t>
      </w:r>
    </w:p>
    <w:p>
      <w:r>
        <w:rPr>
          <w:b w:val="0"/>
        </w:rPr>
        <w:t xml:space="preserve">已验证的案例说明需求并非只有容量：Boston Dynamics Spot 官方资料注明 </w:t>
      </w:r>
      <w:r>
        <w:rPr>
          <w:b/>
        </w:rPr>
        <w:t>600 Wh 锂离子电池</w:t>
      </w:r>
      <w:r>
        <w:rPr>
          <w:b w:val="0"/>
        </w:rPr>
        <w:t>、</w:t>
      </w:r>
      <w:r>
        <w:rPr>
          <w:b/>
        </w:rPr>
        <w:t>35–58.8 V 电池工作范围</w:t>
      </w:r>
      <w:r>
        <w:rPr>
          <w:b w:val="0"/>
        </w:rPr>
        <w:t xml:space="preserve">，并指出电机再生能量可能使母线电压高于正常电池电压，机器人采用钳位电路使母线不超过 </w:t>
      </w:r>
      <w:r>
        <w:rPr>
          <w:b/>
        </w:rPr>
        <w:t>72 V</w:t>
      </w:r>
      <w:r>
        <w:rPr>
          <w:b w:val="0"/>
        </w:rPr>
        <w:t>。[S01] 这些数字属于该文件所述 Spot 平台，不是行业统一规格，也不证明其他版本或新机器人沿用相同设计。</w:t>
      </w:r>
    </w:p>
    <w:p>
      <w:r>
        <w:rPr>
          <w:b w:val="0"/>
        </w:rPr>
        <w:t>建议本轮管理层批准：跨部门技术审查、候选客户访谈和有限样机预算。暂不批准基于“全球具身机器人市场规模”的专用产线投资。继续投资的关口是取得真实电池 RFQ、整机测试要求、量产预测与可接受的项目毛利，而非演示视频热度。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456"/>
          </w:tcPr>
          <w:p>
            <w:r>
              <w:rPr>
                <w:b/>
                <w:sz w:val="16"/>
              </w:rPr>
              <w:t>管理层问题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本版结论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证据或边界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是否值得进入？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值得开展阶段性验证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[战略判断] 电池适配与系统集成有明确技术工作量；市场规模尚未核验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先卖什么？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定制智能电池组；LiFePO4 面向重量容忍度较高的轮式平台；锂聚合物面向空间/重量约束明显的平台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[工程假设] 需电芯实测和客户机械、电气接口确认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先找谁？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有真实运行任务、可提供负载数据、能决定电池设计的 OEM 和移动操作集成商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[战略判断] 不等同于已经有采购意向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先做哪些区域？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美国、欧洲并行验证；日本、韩国按技术适配拓展；东南亚以集成渠道和工厂项目验证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[战略判断] 不是贸易规模排名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最大风险？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采购量不确定、闭合供应链、脉冲/再生工况、认证与售后成本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具体风险需逐项目排查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还缺什么？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全球规模与增长、真实出货、双边贸易值与数量、厂商量产/供应商准入状态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[待核验] 补齐后再作定量预算审议</w:t>
            </w:r>
          </w:p>
        </w:tc>
      </w:tr>
    </w:tbl>
    <w:p/>
    <w:p>
      <w:pPr>
        <w:pStyle w:val="Heading1"/>
      </w:pPr>
      <w:r>
        <w:t>2. 全球市场规模、增长与统计口径</w:t>
      </w:r>
    </w:p>
    <w:p>
      <w:pPr>
        <w:pStyle w:val="Heading2"/>
      </w:pPr>
      <w:r>
        <w:t>2.1 定义与避免重复计算</w:t>
      </w:r>
    </w:p>
    <w:p>
      <w:r>
        <w:rPr>
          <w:b w:val="0"/>
        </w:rPr>
        <w:t>本报告把具身机器人定义为：在物理环境中结合感知、决策与执行完成任务的机器人；商业分析重点是具有自主适应与操作能力的移动平台、人形及四足平台。机器人是否需要电池取决于供电架构，不能由“具身智能”标签直接推出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592"/>
          </w:tcPr>
          <w:p>
            <w:r>
              <w:rPr>
                <w:b/>
                <w:sz w:val="16"/>
              </w:rPr>
              <w:t>层级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内容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与 BPI 的关系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统计处理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核心对象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移动操作机器人、人形、具有自主任务能力的四足机器人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主动力电池、智能电池组、备件与辅助供电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逐产品确认电池供电和真实部署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相邻客户池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传统 AMR/AGV、UGV、移动服务机器人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可复用电池开发能力，但不一定符合狭义具身智能定义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单独列示，避免扩大核心市场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背景或替代方案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固定工业机械臂、协作臂及其 AI 控制系统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固定供电通常不产生主动力电池需求；移动组合平台可能产生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不把固定机器人安装量乘以电池价格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不计为电池市场收入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模型软件、融资、整机售价、充电站全系统收入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仅可作技术/资金背景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与电池收入分开</w:t>
            </w:r>
          </w:p>
        </w:tc>
      </w:tr>
    </w:tbl>
    <w:p/>
    <w:p>
      <w:pPr>
        <w:pStyle w:val="Heading2"/>
      </w:pPr>
      <w:r>
        <w:t>2.2 数值现状：不具备可核验结论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456"/>
          </w:tcPr>
          <w:p>
            <w:r>
              <w:rPr>
                <w:b/>
                <w:sz w:val="16"/>
              </w:rPr>
              <w:t>用户要求的指标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本版可报告的数字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需要的来源与口径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全球具身机器人市场规模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未核验；不填写金额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明确硬件/软件/服务、包含形态、币种、基准年、预测方法的原始报告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历史增长率/CAGR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未核验；不填写百分比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同一报告、同一口径的历史序列，核对报告发表日期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2026 年全球市场规模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未核验；全年实绩尚不能在研究日确认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全年预测、2026 已发布期间实绩分别列示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海外电池可服务市场 SAM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未核验；不填写金额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海外电池供电机器人数量、外采比例、包数与实际成交价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人形机器人出货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未核验；不填写台数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实际交付与验收数量，区分订单、产能、计划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相邻工业/服务机器人规模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未获取可核验当前资料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IFR World Robotics；工业与服务统计分开，并检查调查样本与修订</w:t>
            </w:r>
          </w:p>
        </w:tc>
      </w:tr>
    </w:tbl>
    <w:p/>
    <w:p>
      <w:r>
        <w:rPr>
          <w:b w:val="0"/>
        </w:rPr>
      </w:r>
      <w:r>
        <w:rPr>
          <w:b/>
        </w:rPr>
        <w:t>2026 年 10 月 13 日不是全年统计终点。</w:t>
      </w:r>
      <w:r>
        <w:rPr>
          <w:b w:val="0"/>
        </w:rPr>
        <w:t xml:space="preserve"> 即便补齐网络访问，也应将“2026 年全年预测”“2026 年已公布季度/月度实绩”“最新完整年度历史数据”分列。付费机构预测若定义不同，不求平均，不把两个相互重叠的市场相加。</w:t>
      </w:r>
    </w:p>
    <w:p>
      <w:r>
        <w:rPr>
          <w:b w:val="0"/>
        </w:rPr>
        <w:t>推荐核验入口：IFR World Robotics 工业与服务机器人资料 [P01]；Goldman Sachs、Morgan Stanley 的人形机器人研究原始发布 [P02、P03]。本版未阅读其最新原文，</w:t>
      </w:r>
      <w:r>
        <w:rPr>
          <w:b/>
        </w:rPr>
        <w:t>不引用其具体市场金额或增长率</w:t>
      </w:r>
      <w:r>
        <w:rPr>
          <w:b w:val="0"/>
        </w:rPr>
        <w:t>。</w:t>
      </w:r>
    </w:p>
    <w:p>
      <w:pPr>
        <w:pStyle w:val="Heading2"/>
      </w:pPr>
      <w:r>
        <w:t>2.3 BPI 应采用的底层测算</w:t>
      </w:r>
    </w:p>
    <w:p>
      <w:r>
        <w:rPr>
          <w:b w:val="0"/>
        </w:rPr>
        <w:t>对每个形态、区域和年度分别计算：</w:t>
      </w:r>
    </w:p>
    <w:p>
      <w:r>
        <w:rPr>
          <w:b w:val="0"/>
        </w:rPr>
        <w:t>新增包需求＝交付机器人台数 × 电池供电比例 × 每台装机包数 ×（1＋随新机配置的备包率）。</w:t>
      </w:r>
    </w:p>
    <w:p>
      <w:r>
        <w:rPr>
          <w:b w:val="0"/>
        </w:rPr>
        <w:t>替换包需求＝按安装年份分组的在役机器人数量 × 当年替换率 × 每次替换包数。</w:t>
      </w:r>
    </w:p>
    <w:p>
      <w:r>
        <w:rPr>
          <w:b w:val="0"/>
        </w:rPr>
        <w:t>海外电池 TAM＝Σ（新增包需求＋替换包需求）× 对应电池包实际成交价。</w:t>
      </w:r>
    </w:p>
    <w:p>
      <w:r>
        <w:rPr>
          <w:b w:val="0"/>
        </w:rPr>
        <w:t>BPI SAM＝TAM 中符合 BPI 已验证产品能力、目标区域、认证要求且电池设计允许外采的部分。BPI SOM 采用客户项目清单逐项求和，不直接假定占全球市场的某个百分比。</w:t>
      </w:r>
    </w:p>
    <w:p>
      <w:r>
        <w:rPr>
          <w:b w:val="0"/>
        </w:rPr>
        <w:t>历史在役量和新增交付量要分开，随新机备包与维修替换也要分开。机器人整机收入不能直接视为电池 TAM。</w:t>
      </w:r>
    </w:p>
    <w:p>
      <w:r>
        <w:rPr>
          <w:b w:val="0"/>
        </w:rPr>
      </w:r>
      <w:r>
        <w:rPr>
          <w:b/>
        </w:rPr>
        <w:t>[工程/商业假设示例，不是市场预测]</w:t>
      </w:r>
      <w:r>
        <w:rPr>
          <w:b w:val="0"/>
        </w:rPr>
        <w:t xml:space="preserve"> 假设某单一客户年度交付 1,000 台，每台一个主电池包、随新机备包率 30%、包价 400 美元、BPI 获得 50% 份额，则 BPI 对该项目的收入示例为 1,000 × 1 × 1.30 × 400 × 0.50＝</w:t>
      </w:r>
      <w:r>
        <w:rPr>
          <w:b/>
        </w:rPr>
        <w:t>260,000 美元</w:t>
      </w:r>
      <w:r>
        <w:rPr>
          <w:b w:val="0"/>
        </w:rPr>
        <w:t>。所有输入均人为假设；未含税费、物流、质保、NRE 或维修替换，不代表客户订单、报价或 BPI 收入承诺。[M01]</w:t>
      </w:r>
    </w:p>
    <w:p>
      <w:pPr>
        <w:pStyle w:val="Heading1"/>
      </w:pPr>
      <w:r>
        <w:t>3. 主要国家与区域：围绕采购可达性而非热度</w:t>
      </w:r>
    </w:p>
    <w:p>
      <w:r>
        <w:rPr>
          <w:b w:val="0"/>
        </w:rPr>
        <w:t>以下排序是 BPI 商业开发建议，没有统计意义上的市场排名。场景与渠道是需要访谈验证的方向，不代表已核验当地需求规模。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  <w:tblHeader/>
        </w:trPr>
        <w:tc>
          <w:tcPr>
            <w:tcW w:type="dxa" w:w="2074"/>
          </w:tcPr>
          <w:p>
            <w:r>
              <w:rPr>
                <w:b/>
                <w:sz w:val="16"/>
              </w:rPr>
              <w:t>区域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拟验证场景与买方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供应链/进口机会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竞争与进入约束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BPI 建议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美国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工业移动操作、仓储物流、工业巡检；机器人 OEM 与集成商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机器人设计公司、代工厂、运营方的职责可能分离；核实电池进口商与实际下单主体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供应商锁定、数据/知识产权要求、产品责任、关税和采购政策均需核验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优先有可付费试点和明确 RFQ 的项目；提供英文技术包及本地服务方案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欧洲：德国、北欧、法国及英国分别管理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制造业移动操作、工业巡检、物流平台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OEM、移动底盘厂与集成商的设计权可能不同；核实 EU 与英国分别适用的进口安排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认证、可追溯、生命周期与售后要求需按产品类别核定；英国不是 EU 成员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以技术项目切入；先做法规适用性与售后成本评估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日本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工厂移动操作、巡检、研究平台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通过本地代理/集成商支持技术沟通；确认是日本 OEM 采购还是从海外导入平台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准入、质量审核与变更控制要求需客户确认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把一致性、验证数据、批次追溯列为提案重点；小样到整机验证逐级推进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韩国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制造业、移动操作、机器人平台开发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电池、整机和集团内部供应关系需逐一确认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可能有本地成熟供应链；开放第二供应源不能预设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先验证非绑定项目、定制结构需求和第二供应源机会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东南亚：新加坡、越南、泰国、马来西亚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工厂与物流现场、系统集成、研究/应用开发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区分整机进口、转口、当地集成与实际终端使用；新加坡转口不能直接视为本地消耗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价格、现场服务、温湿环境和备件响应需验证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与有现场交付能力的集成商合作，不仅找纯贸易分销商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中国：供应与竞争参照，不计入海外销量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面向海外的整机出口商与品牌商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可成为国内交付、最终出口的 OEM 客户；统计海外收入归属须明确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成熟供应关系与成本竞争需核验；不能推定可以替换原厂电池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保留面向出口整机厂的联合开发路径，与海外直接客户分账</w:t>
            </w:r>
          </w:p>
        </w:tc>
      </w:tr>
    </w:tbl>
    <w:p/>
    <w:p>
      <w:r>
        <w:rPr>
          <w:b w:val="0"/>
        </w:rPr>
        <w:t>对每个国家应补充：实际项目数、采购主体、交货条款、进口商、适用税率、认证路径、售后覆盖与信用风险。本文没有贸易数据支撑“美国最大”“欧洲增长最快”等断言。</w:t>
      </w:r>
    </w:p>
    <w:p>
      <w:pPr>
        <w:pStyle w:val="Heading1"/>
      </w:pPr>
      <w:r>
        <w:t>4. 主要应用场景与购买理由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  <w:tblHeader/>
        </w:trPr>
        <w:tc>
          <w:tcPr>
            <w:tcW w:type="dxa" w:w="2074"/>
          </w:tcPr>
          <w:p>
            <w:r>
              <w:rPr>
                <w:b/>
                <w:sz w:val="16"/>
              </w:rPr>
              <w:t>应用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机器人形态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客户购买价值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电池相关痛点与要求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BPI 适配判断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制造业搬运、上下料、工位间操作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移动底盘＋机械臂、部分人形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完成可量化任务、减少停机；是否优于固定自动化需客户验证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行走与操作并发负载、BMS 状态接口、自动充电、维护便利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优先验证 LiFePO4 或高能量锂离子包；取决于重量和底盘空间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仓储物流与分拣辅助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AMR、移动操作、人形试点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任务成功率、连续作业、运营成本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充电占用时间、备包数量、循环与售后；多班制可能提高每台总包数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先查实际调度和充电方案，不能把全天运营直接换算成单包全天续航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电力、石化、公共设施巡检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四足、轮式/履带平台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降低现场进入难度、提升巡检覆盖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震动、跌倒/冲击、温度、密封、脉冲电流与通信；危险区认证另行评估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高能量/高功率包与结构防护；未认证平台不得宣称可用于爆炸危险区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科研、训练与开发平台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人形、四足、移动双臂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快速迭代、数据采集、可维护性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频繁拆装、SOC/电流/温度数据、接口文档、较小采购批次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适合定制开发，但研发销量不能外推为量产市场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商用服务与移动操作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轮式服务平台、移动机械臂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任务效率、安全、运营成本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噪声、室内安全、充电效率、尺寸与维护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LiFePO4 或锂聚合物按空间与任务工况评估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家庭通用机器人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人形或轮式操作平台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本版未验证用户付费与可靠执行能力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人机接触、安全、价格和服务复杂度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观察池；无真实订单前不作首阶段主攻市场</w:t>
            </w:r>
          </w:p>
        </w:tc>
      </w:tr>
    </w:tbl>
    <w:p/>
    <w:p>
      <w:r>
        <w:rPr>
          <w:b w:val="0"/>
        </w:rPr>
      </w:r>
      <w:r>
        <w:rPr>
          <w:b/>
        </w:rPr>
        <w:t>[战略判断]</w:t>
      </w:r>
      <w:r>
        <w:rPr>
          <w:b w:val="0"/>
        </w:rPr>
        <w:t xml:space="preserve"> 采用“可测任务＋可访问采购人＋电池设计开放＋真实付费验证”的客户筛选标准。对于人形平台，先核实具体任务、整机连续运行数据及采购路线，再谈放量。</w:t>
      </w:r>
    </w:p>
    <w:p>
      <w:pPr>
        <w:pStyle w:val="Heading1"/>
      </w:pPr>
      <w:r>
        <w:t>5. 主要厂商与客户候选：状态分开管理</w:t>
      </w:r>
    </w:p>
    <w:p>
      <w:r>
        <w:rPr>
          <w:b w:val="0"/>
        </w:rPr>
        <w:t>下表是技术/商业尽调名单，不是出货排名、供应商需求证明或已经确认的客户名单。已读取的技术资料只能证明对应资料内容，不能证明 2026 年商业规模。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592"/>
          </w:tcPr>
          <w:p>
            <w:r>
              <w:rPr>
                <w:b/>
                <w:sz w:val="16"/>
              </w:rPr>
              <w:t>厂商/生态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形态或角色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本次证据状态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对 BPI 的调查方向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Boston Dynamics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Spot 四足及负载开发生态；其他产品另核验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[事实] 官方 SDK 和电气接口已读 [S01、S02]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能量、再生工况、遥测要求；是否开放电池第二供应源需询证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Unitree 宇树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四足、人形开发平台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[事实] 官方 ROS2 资料涉及 Go2/B2/H1，并列出 G1 等例程；BMS 字段已读 [S03、S04]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平台规格、海外渠道、整机出口配套；不得由 SDK 推定各机型容量或销量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Husarion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Lynx/Panther UGV 与开发生态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[事实] 官方 UGV/电池监测资料已读 [S08]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移动底盘与集成客户；电池监测与双包状态管理需求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Universal Robots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协作机械臂生态与移动组合的组件供应方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[事实] 官方 ROS2 Driver 已读 [S07]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移动操作集成商比固定臂主动力电池更相关；固定臂不是默认电池客户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Physical Intelligence、Google DeepMind 开放机器人研究生态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模型、数据和控制能力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[事实] openpi 和 Open X-Embodiment 资料已读 [S05、S06]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识别可落地的硬件平台及集成商；模型开发者不一定采购机器人电池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Agility Robotics、Figure、Apptronik、Tesla、1X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拟核验的人形机器人候选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[待核验] 本轮未读取最新官网/公告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真实交付、试点是否收费、供应链准入、电池外采开放度与设计冻结日期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UBTECH 优必选、Fourier 等出口型厂商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拟核验的中国整机出口客户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[待核验] 本轮未读取最新官网/公告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海外交付与国内采购路径；国内采购不直接等于海外进口量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MiR/OMRON、ANYbotics 等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拟核验的移动/巡检相邻客户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[待核验] 本轮未读取最新官网/公告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电池体系、系统集成渠道、备件/第二供应源机会</w:t>
            </w:r>
          </w:p>
        </w:tc>
      </w:tr>
    </w:tbl>
    <w:p/>
    <w:p>
      <w:r>
        <w:rPr>
          <w:b w:val="0"/>
        </w:rPr>
        <w:t>对候选厂商必须做三项确认：是否自研或绑定电池供应商；是否允许 BPI 直接接触电气与系统负责人；项目是否存在可接受的 NRE、测试及量产商业条款。禁止把展示机、GitHub 例程、融资额或理论工厂产能写成出货。</w:t>
      </w:r>
    </w:p>
    <w:p>
      <w:pPr>
        <w:pStyle w:val="Heading1"/>
      </w:pPr>
      <w:r>
        <w:t>6. 产品出货与需求趋势</w:t>
      </w:r>
    </w:p>
    <w:p>
      <w:pPr>
        <w:pStyle w:val="Heading2"/>
      </w:pPr>
      <w:r>
        <w:t>6.1 本次能确认与不能确认的趋势</w:t>
      </w:r>
    </w:p>
    <w:p>
      <w:r>
        <w:rPr>
          <w:b w:val="0"/>
        </w:rPr>
      </w:r>
      <w:r>
        <w:rPr>
          <w:b/>
        </w:rPr>
        <w:t>[事实]</w:t>
      </w:r>
      <w:r>
        <w:rPr>
          <w:b w:val="0"/>
        </w:rPr>
        <w:t xml:space="preserve"> Physical Intelligence 的 openpi 仓库包含 π₀、π₀-FAST 和 π₀.₅ 模型，并记录 2025 年的相关公开更新；Google DeepMind 的 Open X-Embodiment 项目提供统一机器人数据格式及模型使用资料。[S05、S06] 这些证据支持“公开机器人学习工具与平台适配活动存在”，</w:t>
      </w:r>
      <w:r>
        <w:rPr>
          <w:b/>
        </w:rPr>
        <w:t>不支持“市场增长某个百分比”“2026 年交付多少台”或“所有平台已可靠商业化”</w:t>
      </w:r>
      <w:r>
        <w:rPr>
          <w:b w:val="0"/>
        </w:rPr>
        <w:t>。</w:t>
      </w:r>
    </w:p>
    <w:p>
      <w:r>
        <w:rPr>
          <w:b w:val="0"/>
        </w:rPr>
      </w:r>
      <w:r>
        <w:rPr>
          <w:b/>
        </w:rPr>
        <w:t>[事实]</w:t>
      </w:r>
      <w:r>
        <w:rPr>
          <w:b w:val="0"/>
        </w:rPr>
        <w:t xml:space="preserve"> Unitree、Spot 与 Husarion 提供电池状态/监测字段。[S02、S04、S08] </w:t>
      </w:r>
      <w:r>
        <w:rPr>
          <w:b/>
        </w:rPr>
        <w:t>[战略判断]</w:t>
      </w:r>
      <w:r>
        <w:rPr>
          <w:b w:val="0"/>
        </w:rPr>
        <w:t xml:space="preserve"> BPI 应把电池组数据、维护状态和整机兼容性纳入方案，而不仅比较裸电芯容量。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592"/>
          </w:tcPr>
          <w:p>
            <w:r>
              <w:rPr>
                <w:b/>
                <w:sz w:val="16"/>
              </w:rPr>
              <w:t>需求信号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采购含义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需要证据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本版状态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展示/研发活动增加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可能产生研发样品，不能直接形成量产订单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展会/研发项目、样品 RFQ、实际付费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只有部分公开研发资料；无数量结论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客户试点启动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可能形成小批验证与备包需求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部署合同、验收记录、收费模式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未核验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客户重复部署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更接近稳定采购需求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复购、跨站点扩容、连续任务 KPI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未核验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订单或框架协议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需区分绑定订单与非绑定意向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数量、交付节奏、取消条款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未核验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量产计划/产能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仅说明计划或能力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设备、人力、产线及实际产出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未核验；不视为出货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电池售后替换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可能产生持续备件收入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在役年龄、循环工况、故障/更换记录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未核验</w:t>
            </w:r>
          </w:p>
        </w:tc>
      </w:tr>
    </w:tbl>
    <w:p/>
    <w:p>
      <w:pPr>
        <w:pStyle w:val="Heading2"/>
      </w:pPr>
      <w:r>
        <w:t>6.2 出货口径与供应预测关口</w:t>
      </w:r>
    </w:p>
    <w:p>
      <w:r>
        <w:rPr>
          <w:b w:val="0"/>
        </w:rPr>
        <w:t>建立按季度的证据链：订单→生产完成→交付→验收→在役；逐项标注日期、证据和是否可取消。BPI 预测应采用经客户确认的采购计划，并分别计算研发样品、试生产、量产与备件。不同品牌的年度计划不能简单汇总为行业实际出货。</w:t>
      </w:r>
    </w:p>
    <w:p>
      <w:pPr>
        <w:pStyle w:val="Heading1"/>
      </w:pPr>
      <w:r>
        <w:t>7. 电池类型、典型电压和容量：事实与建议规格分列</w:t>
      </w:r>
    </w:p>
    <w:p>
      <w:pPr>
        <w:pStyle w:val="Heading2"/>
      </w:pPr>
      <w:r>
        <w:t>7.1 已验证产品案例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  <w:tblHeader/>
        </w:trPr>
        <w:tc>
          <w:tcPr>
            <w:tcW w:type="dxa" w:w="2074"/>
          </w:tcPr>
          <w:p>
            <w:r>
              <w:rPr>
                <w:b/>
                <w:sz w:val="16"/>
              </w:rPr>
              <w:t>对象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类型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能量/容量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电压信息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限制与来源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Spot：官方 SDK 电气接口所述平台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锂离子，文件没有进一步注明 LiFePO4、NMC 或软包类型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600 Wh；未提供可直接引用的标称 Ah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电池 35–58.8 V；负载端给出 35–59 V；母线钳位上限 72 V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[事实] [S01]；工作范围不是标称电压；72 V 不是电池标称电压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Unitree ROS2 BMS 消息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未注明化学体系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未注明容量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提供单体电压数组、电流、SOC、循环及温度字段；不据此推断机型额定电压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[事实] [S04]；消息数组长度不是某款产品的串联数证明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Husarion UGV 电池监测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本次文件未注明化学体系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本次文件未注明容量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支持单包状态，检测到第二包时发布第二包及汇总状态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[事实] [S08]；不推断具体销售配置</w:t>
            </w:r>
          </w:p>
        </w:tc>
      </w:tr>
    </w:tbl>
    <w:p/>
    <w:p>
      <w:r>
        <w:rPr>
          <w:b w:val="0"/>
        </w:rPr>
      </w:r>
      <w:r>
        <w:rPr>
          <w:b/>
        </w:rPr>
        <w:t>没有足够跨厂商样本支持“人形机器人典型电压为 X”“全行业典型容量为 Y”的统计结论。</w:t>
      </w:r>
      <w:r>
        <w:rPr>
          <w:b w:val="0"/>
        </w:rPr>
        <w:t xml:space="preserve"> 下表回答产品开发的电压/容量方向，但全部是工程参考区间，不能作为已核验的行业典型规格或厂商参数引用。</w:t>
      </w:r>
    </w:p>
    <w:p>
      <w:pPr>
        <w:pStyle w:val="Heading2"/>
      </w:pPr>
      <w:r>
        <w:t>7.2 BPI 产品开发参考区间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  <w:tblHeader/>
        </w:trPr>
        <w:tc>
          <w:tcPr>
            <w:tcW w:type="dxa" w:w="2074"/>
          </w:tcPr>
          <w:p>
            <w:r>
              <w:rPr>
                <w:b/>
                <w:sz w:val="16"/>
              </w:rPr>
              <w:t>场景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建议评估的体系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建议评估电压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建议评估容量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系统要求与采购特点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人形、动态四足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高能量/高功率锂离子；锂聚合物软包仅在实测满足时选择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36–60 V 级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10–30 Ah，约 0.36–1.8 kWh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[工程假设] 重量/体积、峰值电流、跌倒结构、回充、快换；采购依赖整机联合验证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轮式移动操作、AMR 相邻市场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LiFePO4 或其他锂离子，按载重与温度选择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24 V 或 48 V 级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20–100 Ah，约 0.48–4.8 kWh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[工程假设] 循环、充电兼容、CAN/RS485 等实际接口、维护；LiFePO4 标称可能为 25.6/51.2 V，非精确 24/48 V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商用移动服务、小型移动平台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锂离子/锂聚合物；空间允许时评估 LiFePO4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12–24 V 级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5–30 Ah，约 60–720 Wh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[工程假设] 成本、结构、可维修、人机安全；按平台工况验证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小型传感/计算/操作辅助供电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锂聚合物等；先查是否本来由主电池供电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3.7–14.8 V 级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1–10 Ah，约 3.7–148 Wh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[工程假设] 不重复计算可由主电池 DC/DC 供电的模块；独立电池必要性需确认</w:t>
            </w:r>
          </w:p>
        </w:tc>
      </w:tr>
    </w:tbl>
    <w:p/>
    <w:p>
      <w:r>
        <w:rPr>
          <w:b w:val="0"/>
        </w:rPr>
        <w:t>能量范围按区间端点的 V×Ah 计算，仅用于筛选；不是代表性抽样结果。厂家标称能量、可用能量和工况续航并不等同。</w:t>
      </w:r>
    </w:p>
    <w:p>
      <w:r>
        <w:rPr>
          <w:b w:val="0"/>
        </w:rPr>
      </w:r>
      <w:r>
        <w:rPr>
          <w:b/>
        </w:rPr>
        <w:t>[推导/工程假设 M02]</w:t>
      </w:r>
      <w:r>
        <w:rPr>
          <w:b w:val="0"/>
        </w:rPr>
        <w:t xml:space="preserve"> 若平均功率 500 W，任务连续运行 2 h，允许放电深度 80%，系统供电效率 90%，则初步标称能量需求为 500×2÷(0.8×0.9)＝</w:t>
      </w:r>
      <w:r>
        <w:rPr>
          <w:b/>
        </w:rPr>
        <w:t>1,389 Wh</w:t>
      </w:r>
      <w:r>
        <w:rPr>
          <w:b w:val="0"/>
        </w:rPr>
        <w:t xml:space="preserve">。若按 51.2 V 方案讨论，对应约 </w:t>
      </w:r>
      <w:r>
        <w:rPr>
          <w:b/>
        </w:rPr>
        <w:t>27.1 Ah</w:t>
      </w:r>
      <w:r>
        <w:rPr>
          <w:b w:val="0"/>
        </w:rPr>
        <w:t>。这些输入都是设计示例，不是任何厂商产品的实测功耗；尚未计入温度、寿命末期衰减、任务余量、峰值与整机布置。</w:t>
      </w:r>
    </w:p>
    <w:p>
      <w:pPr>
        <w:pStyle w:val="Heading2"/>
      </w:pPr>
      <w:r>
        <w:t>7.3 设计审核项目</w:t>
      </w:r>
    </w:p>
    <w:p>
      <w:r>
        <w:rPr>
          <w:b w:val="0"/>
        </w:rPr>
        <w:t>客户应提供持续与峰值功率、峰值持续时间/频率、回充电流、动作谱、最低工作电压、充电上限、低温和热环境、续航定义、重量与安装空间、跌倒与振动条件、连接器、锁止、预充、保护阈值、通信、固件变更与安全状态。热插拔/不断电切换不得由“可快换”自动推定。</w:t>
      </w:r>
    </w:p>
    <w:p>
      <w:r>
        <w:rPr>
          <w:b w:val="0"/>
        </w:rPr>
        <w:t xml:space="preserve">Spot BatteryState 公开协议包含电量、估计剩余时间、电流、电压、温度和通信丢失等字段；Unitree BMS 消息包含 SOC、电流、循环、温度和单体电压。[S02、S04] </w:t>
      </w:r>
      <w:r>
        <w:rPr>
          <w:b/>
        </w:rPr>
        <w:t>这些整机接口不证明其内部电池通信一定是 CAN 或 RS485。</w:t>
      </w:r>
      <w:r>
        <w:rPr>
          <w:b w:val="0"/>
        </w:rPr>
        <w:t xml:space="preserve"> BPI 必须与客户另行确认内部通信与协议授权。</w:t>
      </w:r>
    </w:p>
    <w:p>
      <w:pPr>
        <w:pStyle w:val="Heading1"/>
      </w:pPr>
      <w:r>
        <w:t>8. 对锂聚合物、LiFePO4 和电池组的需求机会</w:t>
      </w:r>
    </w:p>
    <w:p>
      <w:r>
        <w:rPr>
          <w:b w:val="0"/>
        </w:rPr>
        <w:t>“锂聚合物”常用于描述软包产品，而 LiFePO4 指正极化学体系；两者不是严格同一维度的互斥分类。不能把“锂离子”公开参数自动改写成“锂聚合物”，也不能认为所有软包都具有高倍率或最高能量密度。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  <w:tblHeader/>
        </w:trPr>
        <w:tc>
          <w:tcPr>
            <w:tcW w:type="dxa" w:w="2074"/>
          </w:tcPr>
          <w:p>
            <w:r>
              <w:rPr>
                <w:b/>
                <w:sz w:val="16"/>
              </w:rPr>
              <w:t>BPI 产品方向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潜在价值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优先对象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必须证明的能力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商业边界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锂聚合物/软包方案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按空间设计，满足重量与脉冲要求时可形成差异化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动态移动平台、空间受限模块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选定电芯的倍率、热稳定、膨胀管理、机械保护、一致性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不可只按容量选型；没有平台验证就不承诺替代原厂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LiFePO4 方案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在重量允许时评估循环、热行为和总体使用成本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轮式底盘、移动操作、运行频繁的相邻工业平台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实际工况循环、低温与充电约束、全电压范围兼容、系统安全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不能宣称不会起火；不以 51.2 V 包直接替换任意 48 V 平台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定制智能电池组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把电芯选择、BMS、结构、追溯、通信、快换与充电协同作为交付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OEM 与有设计权的系统集成商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脉冲/回充、SOC 估计、保护配合、故障状态、连接与固件控制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建议作为主销售单元；区分开发费、单包价、验证费与售后承诺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辅助/备用电池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计算或传感独立备电、研发模块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负载开发者、集成商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供电切换、独立电池必要性、接口和系统安全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先判断 DC/DC 或主包供电是否更合适，避免虚增需求</w:t>
            </w:r>
          </w:p>
        </w:tc>
      </w:tr>
    </w:tbl>
    <w:p/>
    <w:p>
      <w:r>
        <w:rPr>
          <w:b w:val="0"/>
        </w:rPr>
      </w:r>
      <w:r>
        <w:rPr>
          <w:b/>
        </w:rPr>
        <w:t>[战略判断] 产品路线建议：</w:t>
      </w:r>
      <w:r>
        <w:rPr>
          <w:b w:val="0"/>
        </w:rPr>
        <w:t xml:space="preserve"> 第一条为轮式平台 LiFePO4 智能包评估，第二条为轻量/高功率移动平台锂离子定制包评估；共同建设通信、追溯与测试能力。上述是开发方向，不是已经认证或可量产的 BPI 新产品。</w:t>
      </w:r>
    </w:p>
    <w:p>
      <w:pPr>
        <w:pStyle w:val="Heading1"/>
      </w:pPr>
      <w:r>
        <w:t>9. 进出口数据、HS 口径与主要贸易国家</w:t>
      </w:r>
    </w:p>
    <w:p>
      <w:pPr>
        <w:pStyle w:val="Heading2"/>
      </w:pPr>
      <w:r>
        <w:t>9.1 分类线索与其局限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592"/>
          </w:tcPr>
          <w:p>
            <w:r>
              <w:rPr>
                <w:b/>
                <w:sz w:val="16"/>
              </w:rPr>
              <w:t>HS 六位编码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本次读取的描述摘要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可分析什么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不能分析什么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847950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其他未列名工业机器人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部分工业机器人贸易的代理指标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不涵盖所有人形、服务、四足或移动机器人；不可等同具身机器人总量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847990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具有独立功能机械装置的零件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部分机械零部件贸易背景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类别很宽，不能当机器人零件专项贸易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850760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锂离子蓄电池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锂离子电池贸易背景；后续需确认具体电池包归类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包括大量非机器人用途，不能直接当机器人电池需求</w:t>
            </w:r>
          </w:p>
        </w:tc>
      </w:tr>
    </w:tbl>
    <w:p/>
    <w:p>
      <w:r>
        <w:rPr>
          <w:b w:val="0"/>
        </w:rPr>
        <w:t>上述描述已由开放 HS 数据集核对 [S09]；该仓库称数据来自 UN Comtrade [S10]。它是</w:t>
      </w:r>
      <w:r>
        <w:rPr>
          <w:b/>
        </w:rPr>
        <w:t>二手分类线索，不是海关归类裁定，也没有提供本次所需贸易金额</w:t>
      </w:r>
      <w:r>
        <w:rPr>
          <w:b w:val="0"/>
        </w:rPr>
        <w:t>。不同 HS 版本、国家 8/10 位子目和产品特征需逐项确认，机器人不保证都归在 847950，电池不保证能靠一个宽泛编码识别用途。</w:t>
      </w:r>
    </w:p>
    <w:p>
      <w:pPr>
        <w:pStyle w:val="Heading2"/>
      </w:pPr>
      <w:r>
        <w:t>9.2 贸易数据当前缺口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456"/>
          </w:tcPr>
          <w:p>
            <w:r>
              <w:rPr>
                <w:b/>
                <w:sz w:val="16"/>
              </w:rPr>
              <w:t>数据项目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应报告形式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本版结果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机器人出口/进口金额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按编码、年份、报告国、伙伴国、流向列美元值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未取得可核验数据；不是零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机器人出口/进口数量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同时列数量单位与净重，注明覆盖范围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未取得可核验数据；不得用 kg 换算机器人台数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锂离子电池贸易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850760 分年金额、净重、补充数量及单位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未取得可核验数据；不能直接拆出机器人用途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主要出口国、进口国及排名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各编码、年份和流向分别排序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未核验；本报告不发布贸易排名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2026 年变化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与上一年同月数比较，标明数据发布日期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未取得可核验数据；不能全年化后称为实绩</w:t>
            </w:r>
          </w:p>
        </w:tc>
      </w:tr>
    </w:tbl>
    <w:p/>
    <w:p>
      <w:r>
        <w:rPr>
          <w:b w:val="0"/>
        </w:rPr>
      </w:r>
      <w:r>
        <w:rPr>
          <w:b/>
        </w:rPr>
        <w:t>拟核验的贸易节点，不是已确认的主要贸易国家排名：</w:t>
      </w:r>
      <w:r>
        <w:rPr>
          <w:b w:val="0"/>
        </w:rPr>
        <w:t xml:space="preserve"> 中国、日本、德国、韩国、美国、丹麦、瑞士、英国，以及新加坡、越南、泰国、马来西亚。选择它们是为了覆盖候选厂商所在市场、制造/应用区域及潜在转口节点；只有查询结果才能确定哪些国家在特定编码下属于主要贸易国。</w:t>
      </w:r>
    </w:p>
    <w:p>
      <w:pPr>
        <w:pStyle w:val="Heading2"/>
      </w:pPr>
      <w:r>
        <w:t>9.3 可复核查询方案</w:t>
      </w:r>
    </w:p>
    <w:p>
      <w:r>
        <w:rPr>
          <w:b w:val="0"/>
        </w:rPr>
        <w:t>数据来源：UN Comtrade [P04]；WITS [P05] 作交叉检查；美国 Census/USITC [P06]、Eurostat [P07] 核验重点流向。先核对可用年份和 HS 版本，再查询最新完整年度及此前两个可比年度；2026 年月度数据单列。</w:t>
      </w:r>
    </w:p>
    <w:p>
      <w:r>
        <w:rPr>
          <w:b w:val="0"/>
        </w:rPr>
        <w:t>每条记录保留：来源、抓取日期、报告国/伙伴国代码、年份或月份、流向、HS 版本及代码、贸易值、净重、数量、数量单位、估算标识、原始返回。按进口商报告与出口商报告分别列示，不将双边镜像相加；区分进口 CIF 和出口 FOB；EU 合计不得重复加入成员国；转口、保税加工与最终消费分开讨论。</w:t>
      </w:r>
    </w:p>
    <w:p>
      <w:r>
        <w:rPr>
          <w:b w:val="0"/>
        </w:rPr>
        <w:t>电池需求归属以客户 BOM/使用用途确认，而非用 850760 全球贸易值乘一个任意机器人比例。报价前请报关专业人员确认分类、关税、原产地、危险品运输与目的国要求。UN38.3、IEC 62619 等只能作为需要确认适用范围和版本的检查线索 [P08、P09]；本版未核验现行文本，不宣称 BPI 已具备相应资格或所有项目均适用同一标准。</w:t>
      </w:r>
    </w:p>
    <w:p>
      <w:pPr>
        <w:pStyle w:val="Heading1"/>
      </w:pPr>
      <w:r>
        <w:t>10. 客户画像、采购决策与资格筛选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  <w:tblHeader/>
        </w:trPr>
        <w:tc>
          <w:tcPr>
            <w:tcW w:type="dxa" w:w="2074"/>
          </w:tcPr>
          <w:p>
            <w:r>
              <w:rPr>
                <w:b/>
                <w:sz w:val="16"/>
              </w:rPr>
              <w:t>画像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购买角色与决策人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触发条件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核心问题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BPI 的合理提案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OEM 机器人设计制造商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电气/电源工程师提出要求；系统与质量认可；采购/管理层批准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新平台、设计重构、第二供应源、现有供电问题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供应商准入、电芯追溯、接口、重量、实测可靠性、生命周期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联合定义规范、付费 NRE、样机验证与变更控制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机器人品牌商/委托制造方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品牌产品团队、代工厂、采购职责需明确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整机升级或供应链调整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谁拥有设计权、谁承担认证和质保、谁签采购合同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分别确认规格批准方、付款方和进口方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系统集成商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项目经理、移动底盘/电气团队、现场交付负责人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移动机械臂集成、连续任务与充电需求变化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是否允许改变原厂供电系统、系统责任、现场服务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配套方案、授权改装、整机测试与当地服务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分销商/服务商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产品/服务负责人、商业采购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备件短缺、运营维护或代理新产品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授权、批量、兼容性、库存与质保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优先授权备件或 OEM 批准项目，不销售未经验证替代包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最终运营方：物流、工厂、巡检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运营/设备负责人、EHS 与采购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运行效率、维护频繁、扩容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通常不直接拥有电池设计权；要求整机责任清晰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通过 OEM/集成商共同改进，获取工况与替换数据</w:t>
            </w:r>
          </w:p>
        </w:tc>
      </w:tr>
    </w:tbl>
    <w:p/>
    <w:p>
      <w:r>
        <w:rPr>
          <w:b w:val="0"/>
        </w:rPr>
      </w:r>
      <w:r>
        <w:rPr>
          <w:b/>
        </w:rPr>
        <w:t>[战略判断] 客户优先级评分规则：</w:t>
      </w:r>
      <w:r>
        <w:rPr>
          <w:b w:val="0"/>
        </w:rPr>
        <w:t xml:space="preserve"> 实际付费需求 25 分、电池设计开放度 25 分、技术匹配 20 分、采购可达性 15 分、质量/服务可承受性 15 分，共 100 分。建议 ≥75 分进入样机评审，50–74 分继续技术访谈，&lt;50 分观察。权重与阈值是内部管理建议，不是统计验证模型。</w:t>
      </w:r>
    </w:p>
    <w:p>
      <w:r>
        <w:rPr>
          <w:b w:val="0"/>
        </w:rPr>
        <w:t>资格问卷至少覆盖：实际在役与年度采购计划、目标应用、是否固定供电、现有化学体系及电芯型号、负载谱、重量与尺寸、通信、自动充电/快换、认证、NRE、目标成本、第二供应源政策、采购主体、设计冻结和验收条件。没有这些输入，不作量产报价与采购量承诺。</w:t>
      </w:r>
    </w:p>
    <w:p>
      <w:pPr>
        <w:pStyle w:val="Heading1"/>
      </w:pPr>
      <w:r>
        <w:t>11. BPI 切入策略、竞争和经济性</w:t>
      </w:r>
    </w:p>
    <w:p>
      <w:pPr>
        <w:pStyle w:val="Heading2"/>
      </w:pPr>
      <w:r>
        <w:t>11.1 以可证明能力定位</w:t>
      </w:r>
    </w:p>
    <w:p>
      <w:r>
        <w:rPr>
          <w:b w:val="0"/>
        </w:rPr>
        <w:t>建议定位为“面向移动机器人项目的定制智能电池组合作伙伴”。具体优势必须由 BPI 自身数据证明：电芯/结构定制是否满足要求；样机周期是否可达成；BMS 是否有开发/集成能力；测试、质量、交付与售后是否具备记录。AGENTS.md 列出的产品线只证明业务背景，不证明机器人客户认证、海外市场份额或相对竞争优势。</w:t>
      </w:r>
    </w:p>
    <w:p>
      <w:r>
        <w:rPr>
          <w:b w:val="0"/>
        </w:rPr>
        <w:t>竞争对象包括现有整机绑定电池商、通用工业电池包供应商、当地系统电源集成商及 OEM 自研团队。固定自动化方案也可能替代某些移动机器人任务，从而减少主动力电池需求。BPI 需要在“系统匹配＋小批定制＋明确质量责任＋可追溯服务”上验证竞争力，不能只打低价。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456"/>
          </w:tcPr>
          <w:p>
            <w:r>
              <w:rPr>
                <w:b/>
                <w:sz w:val="16"/>
              </w:rPr>
              <w:t>SWOT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判断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对应行动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潜在优势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产品组合涵盖多类电池与定制组包；机器人适配能力未验证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审查能力与样机，不提前宣称领先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短板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本版缺少 BPI 机器人案例、测试记录、成本与海外服务证据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收集可对外提供的技术、质量与认证材料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机会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移动平台、定制空间、系统数据、第二供应源与备件项目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优先有 RFQ、设计权与付费验证的客户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威胁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整机需求不确定、平台设计变化、绑定供应链、服务与责任成本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分阶段投入，收 NRE，明确变更和停产条款</w:t>
            </w:r>
          </w:p>
        </w:tc>
      </w:tr>
    </w:tbl>
    <w:p/>
    <w:p>
      <w:pPr>
        <w:pStyle w:val="Heading2"/>
      </w:pPr>
      <w:r>
        <w:t>11.2 报价与项目盈利</w:t>
      </w:r>
    </w:p>
    <w:p>
      <w:r>
        <w:rPr>
          <w:b w:val="0"/>
        </w:rPr>
        <w:t>本版没有可核验的机器人电池成交价，不提供“行业平均价格”或未经成本审核的报价区间。报价须拆开电芯、BMS、结构连接件、装配测试、认证分摊、包装物流、质保准备与渠道服务；开发费/NRE 单独列示。</w:t>
      </w:r>
    </w:p>
    <w:p>
      <w:r>
        <w:rPr>
          <w:b w:val="0"/>
        </w:rPr>
        <w:t>项目贡献＝电池数量×（售价－变动成本－质保/服务准备）＋NRE 收入－未覆盖开发测试成本。按保守交付情景、延期和设计变更进行敏感性分析；确认付款、最低采购量、报废/变更责任、知识产权和供应保障，才能形成可投项目。</w:t>
      </w:r>
    </w:p>
    <w:p>
      <w:pPr>
        <w:pStyle w:val="Heading2"/>
      </w:pPr>
      <w:r>
        <w:t>11.3 阶段性产品与渠道</w:t>
      </w:r>
    </w:p>
    <w:p>
      <w:r>
        <w:rPr>
          <w:b w:val="0"/>
        </w:rPr>
        <w:t>优先构建轮式平台与轻量动态平台两条验证路线；尽可能复用 BMS 软件框架、测试流程、连接设计和追溯系统，但对不同化学体系分别确定阈值与充电策略。海外销售与技术人员共同筛选 OEM 和有设计权的集成商；国内出口型 OEM 作为另一条渠道管理。未经 OEM 批准的替代电池不作为首阶段渠道增长方案。</w:t>
      </w:r>
    </w:p>
    <w:p>
      <w:pPr>
        <w:pStyle w:val="Heading1"/>
      </w:pPr>
      <w:r>
        <w:t>12. 30／90／180 天行动计划</w:t>
      </w:r>
    </w:p>
    <w:p>
      <w:r>
        <w:rPr>
          <w:b w:val="0"/>
        </w:rPr>
        <w:t>以下数字全部是</w:t>
      </w:r>
      <w:r>
        <w:rPr>
          <w:b/>
        </w:rPr>
        <w:t>建议管理目标，不是已发生事实、客户需求量或业绩预测</w:t>
      </w:r>
      <w:r>
        <w:rPr>
          <w:b w:val="0"/>
        </w:rPr>
        <w:t>。周期从项目启动日计算；若 2026 年 10 月启动，90/180 天计划跨入 2027 年，不强行记作 2026 年销售成果。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  <w:tblHeader/>
        </w:trPr>
        <w:tc>
          <w:tcPr>
            <w:tcW w:type="dxa" w:w="2074"/>
          </w:tcPr>
          <w:p>
            <w:r>
              <w:rPr>
                <w:b/>
                <w:sz w:val="16"/>
              </w:rPr>
              <w:t>阶段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关键工作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责任部门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建议交付/KPI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继续投入关口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0–30 天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补齐市场与贸易证据；内部审查两条电池路线；建立候选账户与技术访谈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海外市场、研发、质量、财务/合规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20 家候选账户；8 次有效技术访谈；3 份完整需求记录；BPI 能力差距表；统计来源审计表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能识别设计权、付费需求、实际工况与认证责任；补齐数据口径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31–90 天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选择优先项目；形成规格、报价、NRE 与验证计划；完成受控样机和台架测试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研发、质量、海外销售、供应链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选择 2 个候选项目；争取至少 1 个付费开发/验证协议；完成对应样机测试记录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脉冲/回充/热/结构/通信测试达到双方约定要求；风险和经济性可接受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b w:val="0"/>
                <w:sz w:val="16"/>
              </w:rPr>
              <w:t>91–180 天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整机联调、现场验证、质量/供应商审核；根据验证结果小批交付；制定备件与服务方案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项目团队、质量、生产、海外销售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至少 1 个整机验证通过或形成可执行整改结论；取得采购意向/订单并明确非绑定与绑定性质</w:t>
            </w:r>
          </w:p>
        </w:tc>
        <w:tc>
          <w:tcPr>
            <w:tcW w:type="dxa" w:w="2074"/>
          </w:tcPr>
          <w:p>
            <w:r>
              <w:rPr>
                <w:b w:val="0"/>
                <w:sz w:val="16"/>
              </w:rPr>
              <w:t>实际验收与商业条件支持继续；否则调整场景或停止该项目</w:t>
            </w:r>
          </w:p>
        </w:tc>
      </w:tr>
    </w:tbl>
    <w:p/>
    <w:p>
      <w:r>
        <w:rPr>
          <w:b w:val="0"/>
        </w:rPr>
        <w:t>技术验收阈值必须由客户任务和安全架构确定，本版不替客户制定通用合格电流、跌落高度、寿命周期数或成功率。预算以客户规格与内部成本审核后另行审批，不能依据全球市场宣传数字倒推产线规模。</w:t>
      </w:r>
    </w:p>
    <w:p>
      <w:pPr>
        <w:pStyle w:val="Heading1"/>
      </w:pPr>
      <w:r>
        <w:t>13. 管理层应追踪的风险与待补资料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456"/>
          </w:tcPr>
          <w:p>
            <w:r>
              <w:rPr>
                <w:b/>
                <w:sz w:val="16"/>
              </w:rPr>
              <w:t>风险/缺口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当前影响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闭环动作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规模、增长与贸易定量证据缺失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无法支持最终市场容量与销售预算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保存所需网络设置后读取 IFR、研究原文和贸易数据；保留原始查询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2026 年全年统计尚未结束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全年数字只能是预测或以后发布的实绩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给每个指标标注数据期与发布时间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采购意向、试点与出货混淆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可能高估订单和备包量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建立订单—交付—验收—在役证据链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化学体系/标称电压误判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充电、BMS 与整机不兼容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取得实际电芯、串并联、完整电压范围与协议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再生制动或跌倒引发系统风险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电池保护动作可能影响机器人状态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联调回充、限流、故障策略与整机安全停机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认证、进口与售后责任不清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报价不能覆盖全部成本，交付存在风险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逐目的国/产品确认标准、危险品运输、进口商及服务责任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BPI 能力或优势未经证明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对外承诺可能超出实测能力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取得内部测试、审核、认证、产能与成本证据</w:t>
            </w:r>
          </w:p>
        </w:tc>
      </w:tr>
    </w:tbl>
    <w:p/>
    <w:p>
      <w:r>
        <w:rPr>
          <w:b w:val="0"/>
        </w:rPr>
      </w:r>
      <w:r>
        <w:rPr>
          <w:b/>
        </w:rPr>
        <w:t>本版建议的管理动作是批准验证，暂缓以缺证数据为依据的产能与销量承诺。</w:t>
      </w:r>
      <w:r>
        <w:rPr>
          <w:b w:val="0"/>
        </w:rPr>
        <w:t xml:space="preserve"> 定量部分补齐之前，不能将本文件改称“完整核验的 2026 年全球市场报告”。</w:t>
      </w:r>
    </w:p>
    <w:p>
      <w:pPr>
        <w:pStyle w:val="Heading1"/>
      </w:pPr>
      <w:r>
        <w:t>14. 来源与计算登记</w:t>
      </w:r>
    </w:p>
    <w:p>
      <w:pPr>
        <w:pStyle w:val="Heading2"/>
      </w:pPr>
      <w:r>
        <w:t>14.1 本次实际读取来源</w:t>
      </w:r>
    </w:p>
    <w:p>
      <w:r>
        <w:rPr>
          <w:b w:val="0"/>
        </w:rPr>
        <w:t>读取日期均为 2026 年 10 月 13 日，北京时间。附录提供固定提交版本链接及 SHA256；下列短链接方便阅读，最终以固定版本登记为准。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592"/>
          </w:tcPr>
          <w:p>
            <w:r>
              <w:rPr>
                <w:b/>
                <w:sz w:val="16"/>
              </w:rPr>
              <w:t>编号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来源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支持的内容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可信度/边界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S01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Boston Dynamics：Spot 电气接口（https://github.com/boston-dynamics/spot-sdk/blob/master/docs/payload/robot_electrical_interface.md）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600 Wh；35–58.8 V；再生与 72 V 钳位；负载接口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官方一手技术文件；非市场统计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S02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Boston Dynamics：RobotState/BatteryState（https://github.com/boston-dynamics/spot-sdk/blob/master/protos/bosdyn/api/robot_state.proto）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电量、电压、电流、温度、通信状态等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官方接口；非容量/销量统计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S03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Unitree：ROS2 支持资料（https://github.com/unitreerobotics/unitree_ros2）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平台/例程及开发接口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官方一手；非销量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S04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Unitree：BmsState 消息（https://github.com/unitreerobotics/unitree_ros2/blob/master/cyclonedds_ws/src/unitree/unitree_go/msg/BmsState.msg）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SOC、电流、循环、温度、单体电压字段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官方一手；不推断电芯串数和容量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S05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Physical Intelligence：openpi（https://github.com/Physical-Intelligence/openpi）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模型与平台适配资料、2025 更新记录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一手研发资料；不证明量产需求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S06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Google DeepMind：Open X-Embodiment（https://github.com/google-deepmind/open_x_embodiment）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机器人数据格式与研究工具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一手研发资料；非市场规模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S07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Universal Robots：ROS2 Driver（https://github.com/UniversalRobots/Universal_Robots_ROS2_Driver）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协作臂及集成接口生态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一手技术资料；不证明主动力电池需求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S08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Husarion：UGV 电池监测（https://github.com/husarion/husarion_ugv_ros/blob/ros2/husarion_ugv_battery/README.md）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单/双包状态、充电状态与诊断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一手技术资料；非具体电池配置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S09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DataHub/datasets：HS 分类 CSV（https://github.com/datasets/harmonized-system/blob/main/data/harmonized-system.csv）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847950、847990、850760 描述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二手开放数据；需核验 HS 版本与目的国归类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b w:val="0"/>
                <w:sz w:val="16"/>
              </w:rPr>
              <w:t>S10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DataHub/datasets：数据来源说明（https://github.com/datasets/harmonized-system）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数据集称来源为 UN Comtrade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来源声明，不替代官方关税文本</w:t>
            </w:r>
          </w:p>
        </w:tc>
      </w:tr>
    </w:tbl>
    <w:p/>
    <w:p>
      <w:pPr>
        <w:pStyle w:val="Heading2"/>
      </w:pPr>
      <w:r>
        <w:t>14.2 尚未读取或核验的必要来源</w:t>
      </w:r>
    </w:p>
    <w:p>
      <w:r>
        <w:rPr>
          <w:b w:val="0"/>
        </w:rPr>
        <w:t>这些入口只作为待办，不构成本版数字的证据。网络阻断不是网站没有数据的证明。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456"/>
          </w:tcPr>
          <w:p>
            <w:r>
              <w:rPr>
                <w:b/>
                <w:sz w:val="16"/>
              </w:rPr>
              <w:t>编号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来源入口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待核验项目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P01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IFR（https://ifr.org/）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最新 World Robotics；全球/国家安装与专业服务机器人销售；样本口径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P02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Goldman Sachs（https://www.goldmansachs.com/）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原始人形机器人研究；发布时间、规模口径及预测假设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P03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Morgan Stanley（https://www.morganstanley.com/）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原始机器人研究；定义、预测与产业链判断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P04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UN Comtrade（https://comtradeplus.un.org/） / API（https://comtradeapi.un.org/）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各编码按年/月、国家/伙伴、流向的金额与数量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P05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WITS（https://wits.worldbank.org/）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贸易交叉核验；数据年份、覆盖与 HS 版本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P06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US Census（https://www.census.gov/） / USITC DataWeb（https://dataweb.usitc.gov/）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美国进口与细分子目、来源国、税率相关信息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P07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Eurostat（https://ec.europa.eu/eurostat/）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欧洲贸易数据；成员国与 EU 汇总避免重复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P08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UNECE（https://unece.org/） / IATA（https://www.iata.org/）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运输试验及适用的现行要求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P09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IEC（https://www.iec.ch/）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相关工业电池标准适用范围与版本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b w:val="0"/>
                <w:sz w:val="16"/>
              </w:rPr>
              <w:t>P10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厂商官网与客户公告：Agility、Figure、Apptronik、Tesla、1X、UBTECH、Fourier、MiR/OMRON、ANYbotics 等</w:t>
            </w:r>
          </w:p>
        </w:tc>
        <w:tc>
          <w:tcPr>
            <w:tcW w:type="dxa" w:w="3456"/>
          </w:tcPr>
          <w:p>
            <w:r>
              <w:rPr>
                <w:b w:val="0"/>
                <w:sz w:val="16"/>
              </w:rPr>
              <w:t>各厂商当前型号、真实出货/验收、项目与开放采购状态；不凭名单认定需求</w:t>
            </w:r>
          </w:p>
        </w:tc>
      </w:tr>
    </w:tbl>
    <w:p/>
    <w:p>
      <w:pPr>
        <w:pStyle w:val="Heading2"/>
      </w:pPr>
      <w:r>
        <w:t>14.3 计算与假设</w:t>
      </w:r>
    </w:p>
    <w:p>
      <w:r>
        <w:rPr>
          <w:b w:val="0"/>
        </w:rPr>
        <w:t>M01：单客户收入示例，输入全部为人为商业假设；公式 1,000×1×1.30×400×0.50＝260,000 美元。M02：工程能量示例，输入全部为人为工程假设；500 W×2 h÷(80%×90%)＝1,388.89 Wh，÷51.2 V＝27.13 Ah。报告中的开发电压/容量区间、客户评分、区域顺序与行动 KPI 全部是建议，不是来源统计值。Excel 工作簿给出可修改输入和公式。</w:t>
      </w:r>
    </w:p>
    <w:p>
      <w:pPr>
        <w:pStyle w:val="Heading2"/>
      </w:pPr>
      <w:r>
        <w:t>14.4 输出与复核说明</w:t>
      </w:r>
    </w:p>
    <w:p>
      <w:r>
        <w:rPr>
          <w:b w:val="0"/>
        </w:rPr>
        <w:t>本报告附 Word 正文、管理层 PPT、来源/电池/客户/贸易待核验表与计算模型。全部市场数字缺口在所有格式中保持一致；无销量图、增长曲线或贸易排名图，以避免把未取得的数据视觉化为事实。源文件和原始资料保存在同一工作目录。仓库原有文件没有修改。</w:t>
      </w:r>
    </w:p>
    <w:p>
      <w:pPr>
        <w:pStyle w:val="Heading1"/>
      </w:pPr>
      <w:r>
        <w:t>附录 A：机会验证路径</w:t>
      </w:r>
    </w:p>
    <w:p>
      <w:r>
        <w:drawing>
          <wp:inline xmlns:a="http://schemas.openxmlformats.org/drawingml/2006/main" xmlns:pic="http://schemas.openxmlformats.org/drawingml/2006/picture">
            <wp:extent cx="6035040" cy="1496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验证路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96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附录 B：固定版本来源与完整性登记</w:t>
      </w:r>
    </w:p>
    <w:p>
      <w:r>
        <w:rPr>
          <w:b/>
        </w:rPr>
        <w:t>S01 Boston Dynamics Spot 电气接口</w:t>
      </w:r>
    </w:p>
    <w:p>
      <w:r>
        <w:t>https://raw.githubusercontent.com/boston-dynamics/spot-sdk/04537ddafe0641d1751af3eb9e76cb785fc18594/docs/payload/robot_electrical_interface.md</w:t>
      </w:r>
    </w:p>
    <w:p>
      <w:r>
        <w:rPr>
          <w:sz w:val="16"/>
        </w:rPr>
        <w:t>读取日期：2026-10-13（北京时间）；SHA256：491fbf52bfcaa796a533b6bd713b1992f33363db1593d6a1920316088d8c35aa</w:t>
      </w:r>
    </w:p>
    <w:p>
      <w:r>
        <w:rPr>
          <w:b/>
        </w:rPr>
        <w:t>S02 Boston Dynamics Spot 电池状态协议</w:t>
      </w:r>
    </w:p>
    <w:p>
      <w:r>
        <w:t>https://raw.githubusercontent.com/boston-dynamics/spot-sdk/04537ddafe0641d1751af3eb9e76cb785fc18594/protos/bosdyn/api/robot_state.proto</w:t>
      </w:r>
    </w:p>
    <w:p>
      <w:r>
        <w:rPr>
          <w:sz w:val="16"/>
        </w:rPr>
        <w:t>读取日期：2026-10-13（北京时间）；SHA256：678766f6928b568cc7857b328bb32319a866feed10b3ea74954107fd3b2840c3</w:t>
      </w:r>
    </w:p>
    <w:p>
      <w:r>
        <w:rPr>
          <w:b/>
        </w:rPr>
        <w:t>S03 Unitree ROS2 平台支持</w:t>
      </w:r>
    </w:p>
    <w:p>
      <w:r>
        <w:t>https://raw.githubusercontent.com/unitreerobotics/unitree_ros2/668d1ec5a05d1c38d3306bdca7d59f2ba3581a88/README.md</w:t>
      </w:r>
    </w:p>
    <w:p>
      <w:r>
        <w:rPr>
          <w:sz w:val="16"/>
        </w:rPr>
        <w:t>读取日期：2026-10-13（北京时间）；SHA256：975d8a29d4904dc6d3d0f72fd9119afed57b0b193a7a2d26d5211bc6b8858831</w:t>
      </w:r>
    </w:p>
    <w:p>
      <w:r>
        <w:rPr>
          <w:b/>
        </w:rPr>
        <w:t>S04 Unitree BMS 状态消息</w:t>
      </w:r>
    </w:p>
    <w:p>
      <w:r>
        <w:t>https://raw.githubusercontent.com/unitreerobotics/unitree_ros2/668d1ec5a05d1c38d3306bdca7d59f2ba3581a88/cyclonedds_ws/src/unitree/unitree_go/msg/BmsState.msg</w:t>
      </w:r>
    </w:p>
    <w:p>
      <w:r>
        <w:rPr>
          <w:sz w:val="16"/>
        </w:rPr>
        <w:t>读取日期：2026-10-13（北京时间）；SHA256：0f7ad8e09f8fd02999da9aa222ab0ecb848d9f70136af78a5ec7a10631959828</w:t>
      </w:r>
    </w:p>
    <w:p>
      <w:r>
        <w:rPr>
          <w:b/>
        </w:rPr>
        <w:t>S05 Physical Intelligence openpi</w:t>
      </w:r>
    </w:p>
    <w:p>
      <w:r>
        <w:t>https://raw.githubusercontent.com/Physical-Intelligence/openpi/215abfb217dbac7d5f1273282331b9b1866c0479/README.md</w:t>
      </w:r>
    </w:p>
    <w:p>
      <w:r>
        <w:rPr>
          <w:sz w:val="16"/>
        </w:rPr>
        <w:t>读取日期：2026-10-13（北京时间）；SHA256：567fc57766bd736664f50126cab8145af4071ca16cc5e238f2b11e369169c3b5</w:t>
      </w:r>
    </w:p>
    <w:p>
      <w:r>
        <w:rPr>
          <w:b/>
        </w:rPr>
        <w:t>S06 Google DeepMind Open X-Embodiment</w:t>
      </w:r>
    </w:p>
    <w:p>
      <w:r>
        <w:t>https://raw.githubusercontent.com/google-deepmind/open_x_embodiment/9eeb68b989efbcf474e8fb9019e01d02b962a604/README.md</w:t>
      </w:r>
    </w:p>
    <w:p>
      <w:r>
        <w:rPr>
          <w:sz w:val="16"/>
        </w:rPr>
        <w:t>读取日期：2026-10-13（北京时间）；SHA256：e7dbf6bb04559e981b7eab2e0f4510579bf82b09948a0fe6471ba1794f86ae59</w:t>
      </w:r>
    </w:p>
    <w:p>
      <w:r>
        <w:rPr>
          <w:b/>
        </w:rPr>
        <w:t>S07 Universal Robots ROS2 Driver</w:t>
      </w:r>
    </w:p>
    <w:p>
      <w:r>
        <w:t>https://raw.githubusercontent.com/UniversalRobots/Universal_Robots_ROS2_Driver/7e031424bc7a3e590d65fe297214ac21e1f9ffdd/README.md</w:t>
      </w:r>
    </w:p>
    <w:p>
      <w:r>
        <w:rPr>
          <w:sz w:val="16"/>
        </w:rPr>
        <w:t>读取日期：2026-10-13（北京时间）；SHA256：d98964230fa189502feeb400891ca543c2ef597949ed30814f6a26015a37c7c9</w:t>
      </w:r>
    </w:p>
    <w:p>
      <w:r>
        <w:rPr>
          <w:b/>
        </w:rPr>
        <w:t>S08 Husarion UGV 电池监测</w:t>
      </w:r>
    </w:p>
    <w:p>
      <w:r>
        <w:t>https://raw.githubusercontent.com/husarion/husarion_ugv_ros/559e784b84c05c813b6ecfce02751d8b3966528a/husarion_ugv_battery/README.md</w:t>
      </w:r>
    </w:p>
    <w:p>
      <w:r>
        <w:rPr>
          <w:sz w:val="16"/>
        </w:rPr>
        <w:t>读取日期：2026-10-13（北京时间）；SHA256：5905be7e9a5f70a79f5bacfc5846a54a326cf940ab8472ba1203e659307a3800</w:t>
      </w:r>
    </w:p>
    <w:p>
      <w:r>
        <w:rPr>
          <w:b/>
        </w:rPr>
        <w:t>S09 HS 商品分类数据</w:t>
      </w:r>
    </w:p>
    <w:p>
      <w:r>
        <w:t>https://raw.githubusercontent.com/datasets/harmonized-system/b1be3f2531a85fb0ea17147b19c41d3641912e43/data/harmonized-system.csv</w:t>
      </w:r>
    </w:p>
    <w:p>
      <w:r>
        <w:rPr>
          <w:sz w:val="16"/>
        </w:rPr>
        <w:t>读取日期：2026-10-13（北京时间）；SHA256：e77ee9e1cfd15a42d1fadeb2c0618d10f6b9ed9aec0e5d66826dc7ef9d3126a5</w:t>
      </w:r>
    </w:p>
    <w:p>
      <w:r>
        <w:rPr>
          <w:b/>
        </w:rPr>
        <w:t>S10 HS 数据来源说明</w:t>
      </w:r>
    </w:p>
    <w:p>
      <w:r>
        <w:t>https://raw.githubusercontent.com/datasets/harmonized-system/b1be3f2531a85fb0ea17147b19c41d3641912e43/README.md</w:t>
      </w:r>
    </w:p>
    <w:p>
      <w:r>
        <w:rPr>
          <w:sz w:val="16"/>
        </w:rPr>
        <w:t>读取日期：2026-10-13（北京时间）；SHA256：20e4050f75a747514208cf22d8c7f89629cea1f8268556a27dcc894549623f81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2026-10-13 北京时间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BPI 海外市场研究  |  2026 具身机器人  |  战略审议版 · 定量待核验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2304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230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2304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