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2026海外具身机器人市场机会｜BPI管理层数据增强版</w:t>
      </w:r>
    </w:p>
    <w:p>
      <w:r>
        <w:t>研究日期：2026-10-13，北京时间。对应39页PPT及22张可编辑图表。已读取AGENTS.md，按BPI海外市场经理视角分析。</w:t>
      </w:r>
    </w:p>
    <w:p>
      <w:pPr>
        <w:pStyle w:val="Heading1"/>
      </w:pPr>
      <w:r>
        <w:t>1. 执行摘要</w:t>
      </w:r>
    </w:p>
    <w:p>
      <w:r>
        <w:t>建议以移动操作与工业移动平台的智能电池组为优先切入方向，LiFePO4轮式路线和轻量/高功率锂离子路线并行验证，人形项目采用分阶段联合开发。IFR2026报告提供2025实绩：专业服务机器人样本约25万台、同比+24%；物流117,488台、占样本47%；全尺寸专业商业用途人形约7,000台。市场与技术证据支持开展客户验证，不证明BPI已满足机器人认证或能够取得特定份额。[D07、D10]</w:t>
      </w:r>
    </w:p>
    <w:p>
      <w:r>
        <w:t>本版修订此前缺少定量来源的问题：已取得IFR原始发布会PDF、厂商公开资料与UN Comtrade数据。实际值、IFR预测、计算推导、厂商自述和BPI建议分别标注。统计缺口不以虚构数据填补。</w:t>
      </w:r>
    </w:p>
    <w:p>
      <w:pPr>
        <w:pStyle w:val="Heading1"/>
      </w:pPr>
      <w:r>
        <w:t>2. 全球市场规模与增长</w:t>
      </w:r>
    </w:p>
    <w:p>
      <w:r>
        <w:t>IFR2026发布会列示全球机器人系统年度营业额约500亿美元，含软件与外围系统，未单列具体统计年；IFR2026-01趋势文章列示工业机器人安装市场价值167亿美元，也未在该文单列对应统计年。Goldman Sachs于2024年发布2035人形机器人TAM预测380亿美元。这三项覆盖和时间不同，不能相加，也不能标为2026具身机器人市场实绩。[D10 p3、D08、D03]</w:t>
      </w:r>
    </w:p>
    <w:p>
      <w:r>
        <w:t>本次没有取得定义统一的2026全具身机器人市场金额。更可操作的是按细分销量和采购项目估算海外电池SAM。固定供电工业机器人、模型软件、整机销售额与主动力电池需求分开。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sz w:val="16"/>
              </w:rPr>
              <w:t>年度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工业安装/千台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2015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2016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2017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2018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2019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2024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图示实绩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IFR预测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IFR预测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IFR预测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2029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IFR预测</w:t>
            </w:r>
          </w:p>
        </w:tc>
      </w:tr>
    </w:tbl>
    <w:p>
      <w:r>
        <w:t>来源：D10 p9、p22。2025约603千台，较2024约增加61千台，IFR公布同比+11%。2026预测655千台/+9%，2029预测806千台。不能把2026预测称为实绩。</w:t>
      </w:r>
    </w:p>
    <w:p>
      <w:pPr>
        <w:pStyle w:val="Heading1"/>
      </w:pPr>
      <w:r>
        <w:t>3. 主要国家与区域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sz w:val="16"/>
              </w:rPr>
              <w:t>市场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2025工业安装/千台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同比/%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中国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354.2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美国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38.4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日本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36.2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-19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韩国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30.2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-1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德国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24.8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-8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印度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15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意大利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7.8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-11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中国台湾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5.7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-3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墨西哥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-7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新加坡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26</w:t>
            </w:r>
          </w:p>
        </w:tc>
      </w:tr>
    </w:tbl>
    <w:p>
      <w:r>
        <w:t>来源：D10 p14，图示四舍五入数据。美国38.4千台/+12%，日本36.2/−19%，韩国30.2/−1%，德国24.8/−8%，新加坡4.6/+26%。亚洲占全球工业安装76%、欧洲12%、美洲9%、其他3%。工业安装仅作自动化需求背景，不能直接当电池需求。[D10 p13]</w:t>
      </w:r>
    </w:p>
    <w:p>
      <w:r>
        <w:t>BPI建议：美国和欧洲并行验证有设计权的OEM/集成商；日本与韩国优先质量、变更控制和第二供应源；东南亚结合有现场交付能力的集成商，区分转口与实际使用。区域顺序为战略建议，不是机械套用贸易排名。</w:t>
      </w:r>
    </w:p>
    <w:p>
      <w:pPr>
        <w:pStyle w:val="Heading1"/>
      </w:pPr>
      <w:r>
        <w:t>4. 应用需求、增长量与市场份额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r>
              <w:rPr>
                <w:b/>
                <w:sz w:val="16"/>
              </w:rPr>
              <w:t>应用</w:t>
            </w:r>
          </w:p>
        </w:tc>
        <w:tc>
          <w:tcPr>
            <w:tcW w:type="dxa" w:w="2074"/>
          </w:tcPr>
          <w:p>
            <w:r>
              <w:rPr>
                <w:b/>
                <w:sz w:val="16"/>
              </w:rPr>
              <w:t>2025销量/台</w:t>
            </w:r>
          </w:p>
        </w:tc>
        <w:tc>
          <w:tcPr>
            <w:tcW w:type="dxa" w:w="2074"/>
          </w:tcPr>
          <w:p>
            <w:r>
              <w:rPr>
                <w:b/>
                <w:sz w:val="16"/>
              </w:rPr>
              <w:t>样本份额/%</w:t>
            </w:r>
          </w:p>
        </w:tc>
        <w:tc>
          <w:tcPr>
            <w:tcW w:type="dxa" w:w="2074"/>
          </w:tcPr>
          <w:p>
            <w:r>
              <w:rPr>
                <w:b/>
                <w:sz w:val="16"/>
              </w:rPr>
              <w:t>同批次同比/%</w:t>
            </w:r>
          </w:p>
        </w:tc>
        <w:tc>
          <w:tcPr>
            <w:tcW w:type="dxa" w:w="2074"/>
          </w:tcPr>
          <w:p>
            <w:r>
              <w:rPr>
                <w:b/>
                <w:sz w:val="16"/>
              </w:rPr>
              <w:t>反推增量/约台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运输物流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117488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20390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酒店/接待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55941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8932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专业清洁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44644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12755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农业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17141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2737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检查维护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6467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2933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其他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7887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未列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未算</w:t>
            </w:r>
          </w:p>
        </w:tc>
      </w:tr>
    </w:tbl>
    <w:p>
      <w:r>
        <w:t>来源：D10 p28–30。样本238家供应商，不外推全行业。应用数量合计249,568台；整数份额是IFR公开图表值。专业服务统计不可拼接不同年度调查批次。物流47%与清洁18%合计约65%；酒店/接待22%，包含引导、信息和远程呈现等。</w:t>
      </w:r>
    </w:p>
    <w:p>
      <w:r>
        <w:t>反推增量=N2025−N2025/(1+IFR公布同比)。同比经过四舍五入，物流约20,390台、清洁约12,755台、检查维护约2,933台。这是计算估算，不是原始2024实绩。高增速不等于大增量：检查维护+83%但基数6,467台；物流+21%却有117,488台。[D10 p29–30]</w:t>
      </w:r>
    </w:p>
    <w:p>
      <w:r>
        <w:t>BPI场景建议：物流和轮式移动操作重点验证BMS、充电与多班运营；清洁验证循环与维护；巡检验证脉冲、回充、冲击、密封和温度。家庭通用机器人需先确认付费与可靠性。危险区域适用性另核，不宣称未经认证的电池可用于该场景。</w:t>
      </w:r>
    </w:p>
    <w:p>
      <w:pPr>
        <w:pStyle w:val="Heading1"/>
      </w:pPr>
      <w:r>
        <w:t>5. 人形出货趋势与主要厂商</w:t>
      </w:r>
    </w:p>
    <w:p>
      <w:r>
        <w:t>IFR2026：2025全球全尺寸人形（&gt;140cm）约7,000台，用于专业商业应用，排除R&amp;D和娱乐。IFR识别174家人形厂商，超过50%位于中国，这是厂商数量分布，不是销量份额。Unitree G1高1320mm，不属于该全尺寸统计；不能把7,000台作所有品牌份额分母。[D07、D10 p32–33、D12]</w:t>
      </w:r>
    </w:p>
    <w:p>
      <w:r>
        <w:t>Goldman Sachs2024预测2030人形出货超过25万台、2035约140万台；2035TAM预测由60亿美元上修至380亿美元。是长期、旧版预测及预测修订，不是已实现增长、2026新预测或与IFR窄口径一致的时间序列。[D03]</w:t>
      </w:r>
    </w:p>
    <w:p>
      <w:r>
        <w:t>主要候选：Figure、Agility、Unitree、Boston Dynamics；移动操作集成生态可另查Husarion、Universal Robots相关平台。企业数据不足以形成统一销量榜，因此未制作虚假的品牌市场份额。另有可核验的来源结构：2025中国工业机器人本土供应商55%、外资45%；本土份额较2024的57%下降2个百分点，仍是中国工业市场而非全球人形份额。[D01、D06、D10 p15]</w:t>
      </w:r>
    </w:p>
    <w:p>
      <w:r>
        <w:t>厂商自述案例：Figure2025-11披露BMW项目装载90,000+零件、运行1,250+小时、参与30,000+车辆生产；这些不是机器人销量，也不是单包续航。2026-06 F.03到BMW演示排序与移动操作。Figure2026-04披露F.03产出&gt;350、电池包&gt;500、电池线一次通过率99.3%；含研发/内部用途，两个下限不能算精确配包比。Agility官网称累计65,000小时生产经验，Digit5仍在开发；不能将其在开发的参数当已量产性能。[D17、D26–D29]</w:t>
      </w:r>
    </w:p>
    <w:p>
      <w:pPr>
        <w:pStyle w:val="Heading1"/>
      </w:pPr>
      <w:r>
        <w:t>6. 电池类型、实际电压与容量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</w:tcPr>
          <w:p>
            <w:r>
              <w:rPr>
                <w:b/>
                <w:sz w:val="16"/>
              </w:rPr>
              <w:t>产品</w:t>
            </w:r>
          </w:p>
        </w:tc>
        <w:tc>
          <w:tcPr>
            <w:tcW w:type="dxa" w:w="2074"/>
          </w:tcPr>
          <w:p>
            <w:r>
              <w:rPr>
                <w:b/>
                <w:sz w:val="16"/>
              </w:rPr>
              <w:t>容量</w:t>
            </w:r>
          </w:p>
        </w:tc>
        <w:tc>
          <w:tcPr>
            <w:tcW w:type="dxa" w:w="2074"/>
          </w:tcPr>
          <w:p>
            <w:r>
              <w:rPr>
                <w:b/>
                <w:sz w:val="16"/>
              </w:rPr>
              <w:t>能量</w:t>
            </w:r>
          </w:p>
        </w:tc>
        <w:tc>
          <w:tcPr>
            <w:tcW w:type="dxa" w:w="2074"/>
          </w:tcPr>
          <w:p>
            <w:r>
              <w:rPr>
                <w:b/>
                <w:sz w:val="16"/>
              </w:rPr>
              <w:t>电压原文</w:t>
            </w:r>
          </w:p>
        </w:tc>
        <w:tc>
          <w:tcPr>
            <w:tcW w:type="dxa" w:w="2074"/>
          </w:tcPr>
          <w:p>
            <w:r>
              <w:rPr>
                <w:b/>
                <w:sz w:val="16"/>
              </w:rPr>
              <w:t>公开续航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G1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9Ah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未公开可直接引用Wh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13串；充电器54V/5A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约2h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Go2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8/15Ah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未直接列Wh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工作28–33.6V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约1–2h/2–4h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B2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45Ah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2250Wh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官网58V，未说明标称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20kg负载连续行走&gt;4h</w:t>
            </w:r>
          </w:p>
        </w:tc>
      </w:tr>
      <w:tr>
        <w:tc>
          <w:tcPr>
            <w:tcW w:type="dxa" w:w="2074"/>
          </w:tcPr>
          <w:p>
            <w:r>
              <w:rPr>
                <w:b w:val="0"/>
                <w:sz w:val="16"/>
              </w:rPr>
              <w:t>Spot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未直接列标称Ah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600Wh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电池35–58.8V；母线钳位72V</w:t>
            </w:r>
          </w:p>
        </w:tc>
        <w:tc>
          <w:tcPr>
            <w:tcW w:type="dxa" w:w="2074"/>
          </w:tcPr>
          <w:p>
            <w:r>
              <w:rPr>
                <w:b w:val="0"/>
                <w:sz w:val="16"/>
              </w:rPr>
              <w:t>本次资料未列</w:t>
            </w:r>
          </w:p>
        </w:tc>
      </w:tr>
    </w:tbl>
    <w:p>
      <w:r>
        <w:t>来源：D12–D14、S01。不同电压的Ah不能作为能量或续航排名；工况、版本不同。B2官网58V×45Ah不等于2250Wh，不将58V自行改写为标称电压，保留原文能量。Spot600Wh与B22250Wh相差约3.75倍，仅是两个公开产品案例，不是行业平均。</w:t>
      </w:r>
    </w:p>
    <w:p>
      <w:r>
        <w:t>电池类型不能自动推断：公开“锂离子”不代表锂聚合物或LiFePO4。“软包/锂聚合物”与LiFePO4化学体系不是同一维度的严格互斥分类。G1资料仅列13串锂电。未披露的体系不得代填。</w:t>
      </w:r>
    </w:p>
    <w:p>
      <w:r>
        <w:t>BPI技术审核：持续与脉冲功率、动作谱、回充电流、完整工作/充电电压、SOC、热、机械保护、连接锁止、预充、通信、故障与整机安全状态、快换/热插拔区别。Spot和Unitree公开接口证明存在电量、电流、电压、温度等状态字段，但不证明内部电池协议一定为CAN或RS485。[S01、S02、S04、S08]</w:t>
      </w:r>
    </w:p>
    <w:p>
      <w:pPr>
        <w:pStyle w:val="Heading1"/>
      </w:pPr>
      <w:r>
        <w:t>7. 锂聚合物、LiFePO4与电池组机会</w:t>
      </w:r>
    </w:p>
    <w:p>
      <w:r>
        <w:t>LiFePO4优先评估重量允许的轮式物流/移动操作/清洁平台，验证循环、低温、充电窗与完整电压兼容；不能宣称不存在热风险。锂聚合物/高能量锂离子方案优先评估空间或重量约束较强的平台，需证明倍率、热、膨胀和冲击性能。智能电池组以电芯＋BMS＋结构＋追溯＋充电/快换兼容交付，开发费/NRE、单包价与服务责任分开。上述是产品开发建议，不是BPI已认证产品或原厂替代授权。</w:t>
      </w:r>
    </w:p>
    <w:p>
      <w:pPr>
        <w:pStyle w:val="Heading1"/>
      </w:pPr>
      <w:r>
        <w:t>8. 进出口数据与主要贸易节点</w:t>
      </w:r>
    </w:p>
    <w:p>
      <w:r>
        <w:t>UN Comtrade公开API；取2024、2025年度，世界伙伴0、第二伙伴0、海关C00、运输0。只保留H6/HS2022及非区域汇总。2025机器人出口79个可用报告国、进口107；锂离子电池出口102、进口111。不能把这些排序写成完整全球排名。出口主要值通常为FOB，进口主要值通常为CIF；保留原始字段，不把进口/出口镜像相加。</w:t>
      </w:r>
    </w:p>
    <w:p>
      <w:r>
        <w:t>HS847950是工业机器人线索，不覆盖全部具身机器人；HS850760覆盖EV、储能及其他大量电池用途，不能当机器人电池TAM。归类与目的国细分子目需报关专业人员确认。</w:t>
      </w:r>
    </w:p>
    <w:p>
      <w:pPr>
        <w:pStyle w:val="Heading2"/>
      </w:pPr>
      <w:r>
        <w:t>2025机器人出口额前列_可用H6报告国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sz w:val="16"/>
              </w:rPr>
              <w:t>国家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金额/百万美元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来源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日本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1789.48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中国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824.09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德国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638.74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意大利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429.60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美国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337.10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丹麦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334.38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瑞典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295.19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法国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272.12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</w:tr>
    </w:tbl>
    <w:p>
      <w:pPr>
        <w:pStyle w:val="Heading2"/>
      </w:pPr>
      <w:r>
        <w:t>2025机器人进口额前列_可用H6报告国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sz w:val="16"/>
              </w:rPr>
              <w:t>国家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金额/百万美元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来源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中国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849.72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美国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650.97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德国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467.55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印度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243.83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西班牙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241.37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意大利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219.26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韩国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208.76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墨西哥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190.21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</w:tr>
    </w:tbl>
    <w:p>
      <w:pPr>
        <w:pStyle w:val="Heading2"/>
      </w:pPr>
      <w:r>
        <w:t>2025锂离子电池出口额前列_可用H6报告国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sz w:val="16"/>
              </w:rPr>
              <w:t>国家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金额/十亿美元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来源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中国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76.75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匈牙利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6.05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德国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5.76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波兰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韩国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4.29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美国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4.23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日本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3.68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中国香港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2.69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</w:tr>
    </w:tbl>
    <w:p>
      <w:pPr>
        <w:pStyle w:val="Heading2"/>
      </w:pPr>
      <w:r>
        <w:t>2025锂离子电池进口额前列_可用H6报告国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sz w:val="16"/>
              </w:rPr>
              <w:t>国家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金额/十亿美元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来源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德国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28.83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美国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20.08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韩国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澳大利亚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4.89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捷克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4.56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墨西哥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4.28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印度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荷兰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</w:tr>
    </w:tbl>
    <w:p>
      <w:r>
        <w:t>2025 HS847950中国出口134,939件、日本131,805件、美国10,456件，数量单位码5且非估算。德国等数量存在估算，不混为精确台数排名。件数不等于当年独立市场安装量、在役量或电池需求。其他单位、缺失或估算不得当真实零。[T05、D23]</w:t>
      </w:r>
    </w:p>
    <w:p>
      <w:pPr>
        <w:pStyle w:val="Heading1"/>
      </w:pPr>
      <w:r>
        <w:t>9. 客户画像与采购决策</w:t>
      </w:r>
    </w:p>
    <w:p>
      <w:r>
        <w:t>OEM/品牌方：电气、系统和质量定义规格，采购与签约主体决定商业；集成商：必须有设计权与原厂授权；分销/服务商：以授权备件和可验证兼容为前提；最终运营方提供在役、工况、扩容与更换记录，但未必有电池设计权。建议筛选真实付费25分、设计开放25、技术匹配20、采购可达15、质量服务15；阈值与权重是建议模型，不是统计验证结果。</w:t>
      </w:r>
    </w:p>
    <w:p>
      <w:pPr>
        <w:pStyle w:val="Heading1"/>
      </w:pPr>
      <w:r>
        <w:t>10. BPI切入策略与项目经济性</w:t>
      </w:r>
    </w:p>
    <w:p>
      <w:r>
        <w:t>用RFQ、负载数据、准入与验收规范选择项目。两条电芯路线共享可复用的BMS框架、追溯与测试能力，不为所有平台设计同一个电池。潜在优势需要BPI内部记录证明：现有产品线不是机器人倍率、认证、海外份额或服务能力的证明。头部厂商自有或绑定电池线时，先确认第二供应源、技术合作和采购开放度。</w:t>
      </w:r>
    </w:p>
    <w:p>
      <w:r>
        <w:t>收入示例（所有输入人为假设）：1,000台×1包/台×1.30备包系数×400美元/包×50%BPI份额=260,000美元。不是客户需求、订单、报价或业绩预测。实际SAM/SOM按客户项目和真实外采需求汇总；在役替换按年龄与真实更换率单列。贡献需扣开发、认证、物流、售后与质保成本。</w:t>
      </w:r>
    </w:p>
    <w:p>
      <w:pPr>
        <w:pStyle w:val="Heading1"/>
      </w:pPr>
      <w:r>
        <w:t>11. 30/90/180天行动计划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sz w:val="16"/>
              </w:rPr>
              <w:t>阶段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建议管理目标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关口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30天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20候选、8有效访谈、3完整需求；能力/成本差距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真实工况、设计权与采购可达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90天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2项目、争取1付费协议；样机与台架测试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脉冲、回充、热、结构、通信达到约定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180天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至少1整机验证或整改闭环；采购与服务方案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真实验收、绑定订单性质、可接受经济性</w:t>
            </w:r>
          </w:p>
        </w:tc>
      </w:tr>
    </w:tbl>
    <w:p>
      <w:r>
        <w:t>目标均为建议，不是既有业绩；若2026年10月启动，90/180天跨入2027年。扩产以整机验收和实际采购关口决定，而不是以预测行业销量安排。</w:t>
      </w:r>
    </w:p>
    <w:p>
      <w:pPr>
        <w:pStyle w:val="Heading1"/>
      </w:pPr>
      <w:r>
        <w:t>12. 数据限制与决策边界</w:t>
      </w:r>
    </w:p>
    <w:p>
      <w:r>
        <w:t>市场金额覆盖不同、服务样本非全行业、企业自述非审计、全尺寸人形定义较窄、贸易覆盖不完整、海关用途不可拆分、工业固定供电比例未知、BPI适配能力未验证。这些边界不会取消市场方向判断，但不支持虚构统一TAM、品牌份额或电池需求百分比。</w:t>
      </w:r>
    </w:p>
    <w:p>
      <w:pPr>
        <w:pStyle w:val="Heading1"/>
      </w:pPr>
      <w:r>
        <w:t>13. 来源登记与复核</w:t>
      </w:r>
    </w:p>
    <w:p>
      <w:r>
        <w:t>PPT39页含22张原生可编辑图表。每页来源ID，备注含完整URL，最后3页链接可点击。Excel保存图表值、反推公式、767条贸易原始返回及估算标识；reports/data保存chart_data.json、comtrade_raw.csv与source_register.json。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URL</w:t>
            </w:r>
          </w:p>
        </w:tc>
        <w:tc>
          <w:tcPr>
            <w:tcW w:type="dxa" w:w="3456"/>
          </w:tcPr>
          <w:p>
            <w:r>
              <w:rPr>
                <w:b/>
                <w:sz w:val="16"/>
              </w:rPr>
              <w:t>读取日期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D01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https://ifr.org/ifr-press-releases/news/global-robot-demand-in-factories-doubles-over-10-years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D02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https://ifr.org/ifr-press-releases/news/service-robots-see-global-growth-boom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D03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https://www.goldmansachs.com/insights/articles/the-global-market-for-robots-could-reach-38-billion-by-2035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D06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https://ifr.org/ifr-press-releases/news/five-million-robots-now-operate-in-factories-globally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D07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https://ifr.org/ifr-press-releases/news/global-sales-of-professional-service-robots-surge-24-percent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D08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https://ifr.org/ifr-press-releases/news/top-5-global-robotics-trends-2026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D10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https://ifr.org/downloads/press_docs/Market_Presentation_WR_Press_Conference_2026.pdf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D11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https://ifr.org/downloads/press_docs/PressConference2025_presentation.pdf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D12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https://www.unitree.com/g1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D13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https://www.unitree.com/go2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D14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https://www.unitree.com/b2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D17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https://www.agilityrobotics.com/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D21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https://comtradeapi.un.org/files/v1/app/reference/Reporters.json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D23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https://comtradeapi.un.org/files/v1/app/reference/QuantityUnits.json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D26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https://www.figure.ai/news/production-at-bmw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D27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https://www.figure.ai/news/f-03-at-bmw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D28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https://www.figure.ai/news/ramping-figure-03-production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D29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https://www.agilityrobotics.com/solutions/digit-5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T06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https://comtradeapi.un.org/public/v1/preview/C/A/HS?period=2025&amp;cmdCode=847950&amp;flowCode=M&amp;partnerCode=0&amp;partner2Code=0&amp;customsCode=C00&amp;motCode=0&amp;maxRecords=500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T07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https://comtradeapi.un.org/public/v1/preview/C/A/HS?period=2024&amp;cmdCode=847950&amp;flowCode=X&amp;partnerCode=0&amp;partner2Code=0&amp;customsCode=C00&amp;motCode=0&amp;maxRecords=500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T08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https://comtradeapi.un.org/public/v1/preview/C/A/HS?period=2024&amp;cmdCode=847950&amp;flowCode=M&amp;partnerCode=0&amp;partner2Code=0&amp;customsCode=C00&amp;motCode=0&amp;maxRecords=500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T09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https://comtradeapi.un.org/public/v1/preview/C/A/HS?period=2025&amp;cmdCode=850760&amp;flowCode=X&amp;partnerCode=0&amp;partner2Code=0&amp;customsCode=C00&amp;motCode=0&amp;maxRecords=500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T10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https://comtradeapi.un.org/public/v1/preview/C/A/HS?period=2025&amp;cmdCode=850760&amp;flowCode=M&amp;partnerCode=0&amp;partner2Code=0&amp;customsCode=C00&amp;motCode=0&amp;maxRecords=500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T11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https://comtradeapi.un.org/public/v1/preview/C/A/HS?period=2024&amp;cmdCode=850760&amp;flowCode=X&amp;partnerCode=0&amp;partner2Code=0&amp;customsCode=C00&amp;motCode=0&amp;maxRecords=500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T05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https://comtradeapi.un.org/public/v1/preview/C/A/HS?period=2025&amp;cmdCode=847950&amp;flowCode=X&amp;partnerCode=0&amp;partner2Code=0&amp;customsCode=C00&amp;motCode=0&amp;maxRecords=500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S01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https://raw.githubusercontent.com/boston-dynamics/spot-sdk/04537ddafe0641d1751af3eb9e76cb785fc18594/docs/payload/robot_electrical_interface.md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S02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https://raw.githubusercontent.com/boston-dynamics/spot-sdk/04537ddafe0641d1751af3eb9e76cb785fc18594/protos/bosdyn/api/robot_state.proto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S04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https://raw.githubusercontent.com/unitreerobotics/unitree_ros2/668d1ec5a05d1c38d3306bdca7d59f2ba3581a88/cyclonedds_ws/src/unitree/unitree_go/msg/BmsState.msg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6"/>
              </w:rPr>
              <w:t>S08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https://raw.githubusercontent.com/husarion/husarion_ugv_ros/559e784b84c05c813b6ecfce02751d8b3966528a/husarion_ugv_battery/README.md</w:t>
            </w:r>
          </w:p>
        </w:tc>
        <w:tc>
          <w:tcPr>
            <w:tcW w:type="dxa" w:w="3456"/>
          </w:tcPr>
          <w:p>
            <w:r>
              <w:rPr>
                <w:b w:val="0"/>
                <w:sz w:val="16"/>
              </w:rPr>
              <w:t>2026-10-13（北京时间）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BPI｜2026海外具身机器人市场｜数据增强版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D4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02D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