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7849A0" w14:textId="50CCF3B2" w:rsidR="00127E85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4CA83F03" w14:textId="54B5C110" w:rsidR="00803610" w:rsidRPr="00803610" w:rsidRDefault="00803610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803610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依次填写缺失值所在行的经度纬度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03610" w14:paraId="7B8C99EC" w14:textId="77777777" w:rsidTr="00042540">
        <w:tc>
          <w:tcPr>
            <w:tcW w:w="4148" w:type="dxa"/>
          </w:tcPr>
          <w:p w14:paraId="5010F7B1" w14:textId="3DC29FD4" w:rsidR="00803610" w:rsidRDefault="00803610" w:rsidP="00042540">
            <w:pPr>
              <w:ind w:firstLine="480"/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经度</w:t>
            </w:r>
          </w:p>
        </w:tc>
        <w:tc>
          <w:tcPr>
            <w:tcW w:w="4148" w:type="dxa"/>
          </w:tcPr>
          <w:p w14:paraId="35FB0F74" w14:textId="1837CC8B" w:rsidR="00803610" w:rsidRDefault="00803610" w:rsidP="00042540">
            <w:pPr>
              <w:ind w:firstLine="480"/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纬度</w:t>
            </w:r>
          </w:p>
        </w:tc>
      </w:tr>
      <w:tr w:rsidR="00803610" w14:paraId="06C09566" w14:textId="77777777" w:rsidTr="00042540">
        <w:tc>
          <w:tcPr>
            <w:tcW w:w="4148" w:type="dxa"/>
          </w:tcPr>
          <w:tbl>
            <w:tblPr>
              <w:tblW w:w="1076" w:type="dxa"/>
              <w:tblLook w:val="04A0" w:firstRow="1" w:lastRow="0" w:firstColumn="1" w:lastColumn="0" w:noHBand="0" w:noVBand="1"/>
            </w:tblPr>
            <w:tblGrid>
              <w:gridCol w:w="1076"/>
            </w:tblGrid>
            <w:tr w:rsidR="000607F6" w:rsidRPr="000607F6" w14:paraId="158806B8" w14:textId="77777777" w:rsidTr="000607F6">
              <w:trPr>
                <w:trHeight w:val="276"/>
              </w:trPr>
              <w:tc>
                <w:tcPr>
                  <w:tcW w:w="10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84251CA" w14:textId="77777777" w:rsidR="000607F6" w:rsidRPr="000607F6" w:rsidRDefault="000607F6" w:rsidP="000607F6">
                  <w:pPr>
                    <w:widowControl/>
                    <w:jc w:val="right"/>
                    <w:rPr>
                      <w:rFonts w:ascii="等线" w:eastAsia="等线" w:hAnsi="等线" w:cs="宋体"/>
                      <w:color w:val="000000"/>
                      <w:kern w:val="0"/>
                      <w:sz w:val="22"/>
                    </w:rPr>
                  </w:pPr>
                  <w:r w:rsidRPr="000607F6">
                    <w:rPr>
                      <w:rFonts w:ascii="等线" w:eastAsia="等线" w:hAnsi="等线" w:cs="宋体" w:hint="eastAsia"/>
                      <w:color w:val="000000"/>
                      <w:kern w:val="0"/>
                      <w:sz w:val="22"/>
                    </w:rPr>
                    <w:t>121.7987</w:t>
                  </w:r>
                </w:p>
              </w:tc>
            </w:tr>
          </w:tbl>
          <w:p w14:paraId="5BF9E932" w14:textId="77777777" w:rsidR="00803610" w:rsidRDefault="00803610" w:rsidP="00042540">
            <w:pPr>
              <w:ind w:firstLine="480"/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</w:p>
        </w:tc>
        <w:tc>
          <w:tcPr>
            <w:tcW w:w="4148" w:type="dxa"/>
          </w:tcPr>
          <w:p w14:paraId="1D7403C0" w14:textId="344C9CAC" w:rsidR="00803610" w:rsidRDefault="000607F6" w:rsidP="00042540">
            <w:pPr>
              <w:ind w:firstLine="480"/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0607F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31.15211</w:t>
            </w:r>
          </w:p>
        </w:tc>
      </w:tr>
      <w:tr w:rsidR="00803610" w14:paraId="63FCFAB9" w14:textId="77777777" w:rsidTr="00042540">
        <w:tc>
          <w:tcPr>
            <w:tcW w:w="4148" w:type="dxa"/>
          </w:tcPr>
          <w:p w14:paraId="253029D2" w14:textId="410EA2DE" w:rsidR="00803610" w:rsidRDefault="000607F6" w:rsidP="000607F6">
            <w:pPr>
              <w:widowControl/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0607F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121.7599</w:t>
            </w:r>
          </w:p>
        </w:tc>
        <w:tc>
          <w:tcPr>
            <w:tcW w:w="4148" w:type="dxa"/>
          </w:tcPr>
          <w:p w14:paraId="43C126DE" w14:textId="2946917F" w:rsidR="00803610" w:rsidRDefault="000607F6" w:rsidP="00042540">
            <w:pPr>
              <w:ind w:firstLine="480"/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0607F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31.19877</w:t>
            </w:r>
          </w:p>
        </w:tc>
      </w:tr>
      <w:tr w:rsidR="00803610" w14:paraId="0E0769E2" w14:textId="77777777" w:rsidTr="00042540">
        <w:tc>
          <w:tcPr>
            <w:tcW w:w="4148" w:type="dxa"/>
          </w:tcPr>
          <w:p w14:paraId="3643B425" w14:textId="48E56E54" w:rsidR="00803610" w:rsidRDefault="000607F6" w:rsidP="00042540">
            <w:pPr>
              <w:ind w:firstLine="480"/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0607F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121.7307</w:t>
            </w:r>
          </w:p>
        </w:tc>
        <w:tc>
          <w:tcPr>
            <w:tcW w:w="4148" w:type="dxa"/>
          </w:tcPr>
          <w:p w14:paraId="5E62C409" w14:textId="2EC0EEA7" w:rsidR="00803610" w:rsidRDefault="000607F6" w:rsidP="00042540">
            <w:pPr>
              <w:ind w:firstLine="480"/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0607F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31.05351</w:t>
            </w:r>
          </w:p>
        </w:tc>
      </w:tr>
      <w:tr w:rsidR="00803610" w14:paraId="41571BAA" w14:textId="77777777" w:rsidTr="00042540">
        <w:tc>
          <w:tcPr>
            <w:tcW w:w="4148" w:type="dxa"/>
          </w:tcPr>
          <w:p w14:paraId="15BEC0EB" w14:textId="34E829A9" w:rsidR="00803610" w:rsidRDefault="000607F6" w:rsidP="00042540">
            <w:pPr>
              <w:ind w:firstLine="480"/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0607F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121.6828</w:t>
            </w:r>
          </w:p>
        </w:tc>
        <w:tc>
          <w:tcPr>
            <w:tcW w:w="4148" w:type="dxa"/>
          </w:tcPr>
          <w:p w14:paraId="51FBBB8E" w14:textId="698B0393" w:rsidR="00803610" w:rsidRDefault="000607F6" w:rsidP="000607F6">
            <w:pPr>
              <w:widowControl/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0607F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31.19091</w:t>
            </w:r>
          </w:p>
        </w:tc>
      </w:tr>
    </w:tbl>
    <w:p w14:paraId="79A344EF" w14:textId="77777777" w:rsidR="007D44B3" w:rsidRDefault="007D44B3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0C6F02D9" w14:textId="6F2F036C" w:rsidR="00346CF4" w:rsidRDefault="007D44B3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7D44B3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综合评分最高的行政区和该区的人均消费数据，分析消费者的偏好及其对餐饮业的潜在影响。讨论这些因素如何影响餐厅的服务提升和定价策略。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22AA8F0" w14:textId="77777777" w:rsidTr="007D44B3">
        <w:trPr>
          <w:trHeight w:val="4781"/>
        </w:trPr>
        <w:tc>
          <w:tcPr>
            <w:tcW w:w="8296" w:type="dxa"/>
          </w:tcPr>
          <w:p w14:paraId="2B0F7C1E" w14:textId="77777777" w:rsidR="00B34B6D" w:rsidRDefault="002C79FD" w:rsidP="002C79FD">
            <w:pPr>
              <w:ind w:firstLineChars="200" w:firstLine="480"/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 w:rsidRPr="002C79FD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根据对不同餐饮类别综合评分和人均消费数据的分析，综合评分最高的行政区是浦东新区。数据表明，浦东新区的消费者对餐饮体验的要求较高，并且他们愿意为高质量的服务和食品支付更高的费用。</w:t>
            </w:r>
          </w:p>
          <w:p w14:paraId="2B5F42BB" w14:textId="2556852C" w:rsidR="002C79FD" w:rsidRPr="002C79FD" w:rsidRDefault="002C79FD" w:rsidP="002C79FD">
            <w:pPr>
              <w:ind w:firstLineChars="200" w:firstLine="480"/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C79FD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数据分析：浦东新区以其高综合评分和高人均消费脱颖而出，反映出消费者在该区域更倾向于高端餐饮体验。高评分意味着餐饮业在该区的整体服务质量和食品质量都较高，而高人均消费则表明消费者愿意为这种高质量的体验支付溢价。这种消费行为可能受到多种因素的影响，包括较高的居民收入水平、多样化的餐饮选择以及消费者对饮食品质的重视。</w:t>
            </w:r>
          </w:p>
          <w:p w14:paraId="0AE89D99" w14:textId="77777777" w:rsidR="002C79FD" w:rsidRDefault="002C79FD" w:rsidP="002C79FD">
            <w:pPr>
              <w:ind w:firstLineChars="200" w:firstLine="480"/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 w:rsidRPr="002C79FD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服务提升建议：（</w:t>
            </w:r>
            <w:r w:rsidRPr="002C79FD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1）员工培训为了保持和提升服务质量，餐厅应定期对员工进行专业培训，</w:t>
            </w:r>
            <w:r w:rsidRPr="002C79FD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提升服务意识和服务技能，确保每位顾客都能享受到高水准的服务；（</w:t>
            </w:r>
            <w:r w:rsidRPr="002C79FD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2）个性化服务：提</w:t>
            </w:r>
            <w:r w:rsidRPr="002C79FD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供个性化的服务体验，如根据顾客的偏好推荐菜品、记住常客的特殊需求等，能够提升顾客的满意度和忠诚度。（</w:t>
            </w:r>
            <w:r w:rsidRPr="002C79FD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3）环境优化：注重餐厅的环境设计和氛围营造，通过装修风格、</w:t>
            </w:r>
            <w:r w:rsidRPr="002C79FD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音乐、灯光等元素提升顾客的就餐体验。</w:t>
            </w:r>
          </w:p>
          <w:p w14:paraId="1F815A8F" w14:textId="0221FF2F" w:rsidR="002C79FD" w:rsidRPr="002C79FD" w:rsidRDefault="002C79FD" w:rsidP="002C79FD">
            <w:pPr>
              <w:ind w:firstLineChars="200" w:firstLine="480"/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C79FD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lastRenderedPageBreak/>
              <w:t>定价策略建议：（</w:t>
            </w:r>
            <w:r w:rsidRPr="002C79FD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1）高端定价：在高评分和高人均消费的基础上，餐厅可以采用高端定价</w:t>
            </w:r>
            <w:r w:rsidRPr="002C79FD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策略，但需确保价格与服务和食品质量匹配，从而平衡较高的价格。（</w:t>
            </w:r>
            <w:r w:rsidRPr="002C79FD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2）分级定价：针对</w:t>
            </w:r>
            <w:r w:rsidRPr="002C79FD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不同消费水平的顾客群体，提供不同档次的菜品和服务，既能吸引高端顾客，又不失中端市场；（</w:t>
            </w:r>
            <w:r w:rsidRPr="002C79FD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3）套餐和会员制：推出高价值的套餐和会员优惠，以吸引常客和高消费顾客，增</w:t>
            </w:r>
            <w:r w:rsidRPr="002C79FD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加顾客粘性和</w:t>
            </w:r>
            <w:proofErr w:type="gramStart"/>
            <w:r w:rsidRPr="002C79FD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复购</w:t>
            </w:r>
            <w:proofErr w:type="gramEnd"/>
            <w:r w:rsidRPr="002C79FD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率。</w:t>
            </w:r>
          </w:p>
          <w:p w14:paraId="73903F3C" w14:textId="6EEB06A0" w:rsidR="002C79FD" w:rsidRPr="002C79FD" w:rsidRDefault="002C79FD" w:rsidP="002C79FD">
            <w:pPr>
              <w:ind w:firstLineChars="200" w:firstLine="480"/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C79FD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潜在影响：高评分和高人均消费的趋势表明，浦东新区的餐饮市场有很大的潜力。餐厅在提升服务质量和优化定价策略后，可以进一步吸引更多的高端消费者，提升品牌形象和市场占有率。同时，通过对服务和价格的优化，餐厅还能在激烈的市场竞争中保持竞争优势，促进长期稳定发展。</w:t>
            </w:r>
          </w:p>
          <w:p w14:paraId="71E2502C" w14:textId="496A2C26" w:rsidR="002C79FD" w:rsidRPr="002C79FD" w:rsidRDefault="002C79FD" w:rsidP="002C79FD">
            <w:pPr>
              <w:ind w:firstLineChars="200" w:firstLine="480"/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C79FD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综上所述，针对浦东新区高评分和高人均消费的数据，餐厅应通过提升服务质量和优化定价策略，满足消费者对高端餐饮体验的需求，从而在市场中占据有利位置。</w:t>
            </w:r>
            <w:bookmarkStart w:id="0" w:name="_GoBack"/>
            <w:bookmarkEnd w:id="0"/>
          </w:p>
        </w:tc>
      </w:tr>
    </w:tbl>
    <w:p w14:paraId="6706105C" w14:textId="1A350990" w:rsidR="00BC00BA" w:rsidRPr="002C79FD" w:rsidRDefault="00BC00BA" w:rsidP="00803610">
      <w:pPr>
        <w:jc w:val="left"/>
        <w:rPr>
          <w:color w:val="262626" w:themeColor="text1" w:themeTint="D9"/>
          <w:sz w:val="44"/>
        </w:rPr>
      </w:pPr>
    </w:p>
    <w:sectPr w:rsidR="00BC00BA" w:rsidRPr="002C79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1184D2" w14:textId="77777777" w:rsidR="00B700BB" w:rsidRDefault="00B700BB" w:rsidP="00346CF4">
      <w:r>
        <w:separator/>
      </w:r>
    </w:p>
  </w:endnote>
  <w:endnote w:type="continuationSeparator" w:id="0">
    <w:p w14:paraId="68269120" w14:textId="77777777" w:rsidR="00B700BB" w:rsidRDefault="00B700BB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36DB60" w14:textId="77777777" w:rsidR="00B700BB" w:rsidRDefault="00B700BB" w:rsidP="00346CF4">
      <w:r>
        <w:separator/>
      </w:r>
    </w:p>
  </w:footnote>
  <w:footnote w:type="continuationSeparator" w:id="0">
    <w:p w14:paraId="624BAD70" w14:textId="77777777" w:rsidR="00B700BB" w:rsidRDefault="00B700BB" w:rsidP="0034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313"/>
    <w:rsid w:val="00033B6F"/>
    <w:rsid w:val="000607F6"/>
    <w:rsid w:val="00127E85"/>
    <w:rsid w:val="002C075B"/>
    <w:rsid w:val="002C79FD"/>
    <w:rsid w:val="002F2B59"/>
    <w:rsid w:val="00346CF4"/>
    <w:rsid w:val="0039483A"/>
    <w:rsid w:val="00410654"/>
    <w:rsid w:val="004C7BA8"/>
    <w:rsid w:val="004E4309"/>
    <w:rsid w:val="00503958"/>
    <w:rsid w:val="007D44B3"/>
    <w:rsid w:val="00803610"/>
    <w:rsid w:val="00817177"/>
    <w:rsid w:val="008B537E"/>
    <w:rsid w:val="008D5075"/>
    <w:rsid w:val="009E13F9"/>
    <w:rsid w:val="00AC6313"/>
    <w:rsid w:val="00B34B6D"/>
    <w:rsid w:val="00B700BB"/>
    <w:rsid w:val="00B77455"/>
    <w:rsid w:val="00BC00BA"/>
    <w:rsid w:val="00C046A9"/>
    <w:rsid w:val="00C67410"/>
    <w:rsid w:val="00CE1613"/>
    <w:rsid w:val="00CF0122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46CF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46CF4"/>
    <w:rPr>
      <w:sz w:val="18"/>
      <w:szCs w:val="18"/>
    </w:rPr>
  </w:style>
  <w:style w:type="table" w:styleId="a5">
    <w:name w:val="Table Grid"/>
    <w:basedOn w:val="a1"/>
    <w:uiPriority w:val="39"/>
    <w:rsid w:val="009E1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46CF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46CF4"/>
    <w:rPr>
      <w:sz w:val="18"/>
      <w:szCs w:val="18"/>
    </w:rPr>
  </w:style>
  <w:style w:type="table" w:styleId="a5">
    <w:name w:val="Table Grid"/>
    <w:basedOn w:val="a1"/>
    <w:uiPriority w:val="39"/>
    <w:rsid w:val="009E1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14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14</cp:revision>
  <dcterms:created xsi:type="dcterms:W3CDTF">2024-12-10T06:47:00Z</dcterms:created>
  <dcterms:modified xsi:type="dcterms:W3CDTF">2025-06-26T14:54:00Z</dcterms:modified>
</cp:coreProperties>
</file>