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7849A0" w14:textId="50CCF3B2" w:rsidR="00162813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2C00B695" w14:textId="22CEEF05" w:rsidR="002A5C3F" w:rsidRDefault="002A5C3F" w:rsidP="002A5C3F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2A5C3F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依次填写</w:t>
      </w:r>
      <w:proofErr w:type="gramStart"/>
      <w:r w:rsidRPr="002A5C3F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缺失值</w:t>
      </w:r>
      <w:proofErr w:type="gramEnd"/>
      <w:r w:rsidRPr="002A5C3F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所在行的</w:t>
      </w:r>
      <w:r w:rsidR="002863DB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i</w:t>
      </w:r>
      <w:r w:rsidR="002863DB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d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F26C4" w14:paraId="3FCE7BEC" w14:textId="77777777" w:rsidTr="00D87BC3">
        <w:tc>
          <w:tcPr>
            <w:tcW w:w="8296" w:type="dxa"/>
          </w:tcPr>
          <w:p w14:paraId="61316A79" w14:textId="4184C650" w:rsidR="004F26C4" w:rsidRDefault="002863DB" w:rsidP="00042540">
            <w:pPr>
              <w:ind w:firstLine="480"/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i</w:t>
            </w:r>
            <w:r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d</w:t>
            </w:r>
          </w:p>
        </w:tc>
      </w:tr>
      <w:tr w:rsidR="004F26C4" w14:paraId="542D3B84" w14:textId="77777777" w:rsidTr="00EC4C90">
        <w:tc>
          <w:tcPr>
            <w:tcW w:w="8296" w:type="dxa"/>
          </w:tcPr>
          <w:p w14:paraId="742896C7" w14:textId="68DA2023" w:rsidR="004F26C4" w:rsidRDefault="002D7CBC" w:rsidP="00042540">
            <w:pPr>
              <w:ind w:firstLine="480"/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 w:rsidRPr="002D7CBC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13477538</w:t>
            </w:r>
          </w:p>
        </w:tc>
      </w:tr>
      <w:tr w:rsidR="004F26C4" w14:paraId="016EB733" w14:textId="77777777" w:rsidTr="00D361AC">
        <w:tc>
          <w:tcPr>
            <w:tcW w:w="8296" w:type="dxa"/>
          </w:tcPr>
          <w:p w14:paraId="4E969213" w14:textId="1CE962BD" w:rsidR="004F26C4" w:rsidRDefault="002D7CBC" w:rsidP="00042540">
            <w:pPr>
              <w:ind w:firstLine="480"/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 w:rsidRPr="002D7CBC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20136577</w:t>
            </w:r>
          </w:p>
        </w:tc>
      </w:tr>
    </w:tbl>
    <w:p w14:paraId="3F7A34BA" w14:textId="77777777" w:rsidR="00687C57" w:rsidRPr="00687C57" w:rsidRDefault="00687C57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2"/>
        </w:rPr>
      </w:pPr>
    </w:p>
    <w:p w14:paraId="0C6F02D9" w14:textId="572D08DB" w:rsidR="00346CF4" w:rsidRDefault="0010702D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10702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根据“城市”为“上海”地区的平均“单价</w:t>
      </w:r>
      <w:r w:rsidRPr="0010702D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(每平方米)”最高的地区的房产数据，分析消费者的购买偏好及其对房地产市场的潜在影响</w:t>
      </w:r>
      <w:r w:rsidR="00346CF4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22AA8F0" w14:textId="77777777" w:rsidTr="00B34B6D">
        <w:trPr>
          <w:trHeight w:val="1701"/>
        </w:trPr>
        <w:tc>
          <w:tcPr>
            <w:tcW w:w="8296" w:type="dxa"/>
          </w:tcPr>
          <w:p w14:paraId="503DEDFA" w14:textId="5687BEF6" w:rsidR="004F795A" w:rsidRPr="004F795A" w:rsidRDefault="004F795A" w:rsidP="004F795A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4F795A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黄浦区作为上海的中心区域，拥有优越的地理位置、发达的商业环境和完善的基础设施，这使得消费者愿意在该地区购买高单价房产。高单价的房产通常意味着更高的生活质量和更便捷的生活条件，如靠近商业中心、交通便利、教育资源丰富等因素。</w:t>
            </w:r>
          </w:p>
          <w:p w14:paraId="76791246" w14:textId="7218D8EA" w:rsidR="004F795A" w:rsidRPr="004F795A" w:rsidRDefault="004F795A" w:rsidP="004F795A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4F795A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消费者购买偏好及其潜在影响：消费者在黄浦区倾向于购买高单价的房产，表明他们重视房产的地理位置和周边配套设施。这样的购买偏好对房地产市场有显著影响。首先，高单价房产的需求增加，推动了高端房地产市场的发展，开发商可能会更多地投资于高端房产项目，以满足市场需求。其次，随着高单价房产需求的增加，黄浦区的整体房价可能持续上涨，这也会影响周边地区的房价，进一步推动整个区域的房价上升。</w:t>
            </w:r>
          </w:p>
          <w:p w14:paraId="71E2502C" w14:textId="6E8FCD79" w:rsidR="00B34B6D" w:rsidRPr="00B34B6D" w:rsidRDefault="00B34B6D" w:rsidP="004F795A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</w:p>
        </w:tc>
      </w:tr>
    </w:tbl>
    <w:p w14:paraId="4B6496FA" w14:textId="4B4C7C69" w:rsidR="009E13F9" w:rsidRPr="0039483A" w:rsidRDefault="009E13F9" w:rsidP="00346CF4">
      <w:pPr>
        <w:jc w:val="left"/>
        <w:rPr>
          <w:b/>
          <w:color w:val="262626" w:themeColor="text1" w:themeTint="D9"/>
          <w:sz w:val="44"/>
        </w:rPr>
      </w:pPr>
    </w:p>
    <w:p w14:paraId="4CF2F63A" w14:textId="75B98D40" w:rsidR="00BC00BA" w:rsidRDefault="0010702D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10702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合理探讨价格因素对房地产的营销策略和定价策略的影响</w:t>
      </w:r>
      <w:r w:rsidR="00BC00BA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6BFC7D4" w14:textId="77777777" w:rsidTr="00B34B6D">
        <w:trPr>
          <w:trHeight w:val="1701"/>
        </w:trPr>
        <w:tc>
          <w:tcPr>
            <w:tcW w:w="8296" w:type="dxa"/>
          </w:tcPr>
          <w:p w14:paraId="3464D2F0" w14:textId="77777777" w:rsidR="00B34B6D" w:rsidRDefault="004F795A" w:rsidP="004F795A">
            <w:p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 w:rsidRPr="004F795A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lastRenderedPageBreak/>
              <w:t>价格对房地产营销策略的影响：在营销策略方面，开发商应定位高端市场，宣传房产的地理优势和高端生活品质，吸引高收入人群。通过打造高端品牌形象，增强消费者对品牌的信任和认同感，从而提高销售量。此外，提供定制化的购房服务，如个性化设计、专属购房顾问等，以满足高端客户的特殊需求。利用多样化的宣传渠道，包括线上和线下活动，增强品牌曝光度，吸引更多潜在客户。</w:t>
            </w:r>
          </w:p>
          <w:p w14:paraId="1AFD0A8B" w14:textId="77777777" w:rsidR="004F795A" w:rsidRDefault="004F795A" w:rsidP="004F795A">
            <w:p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</w:p>
          <w:p w14:paraId="66744D21" w14:textId="66628E9F" w:rsidR="004F795A" w:rsidRPr="004F795A" w:rsidRDefault="004F795A" w:rsidP="004F795A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4F795A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价格对房地产定价策略的影响：在定价策略方面，开发商需要考虑黄浦区的高单价特性，制定合理的定价策略。可以采用差异化定价，根据房产的具体位置、面积、景观等因素进行灵活定价，以最大化收益。对于优质房源，可以采取拍卖或竞价销售的方式，提高售价。同时，可以推出限时优惠和贷款优惠政策，吸引购房者。通过细分市场，针对不同收入水平的客户群体，提供多样化的产品和价格选择，以满足不同层次的需求。</w:t>
            </w:r>
          </w:p>
        </w:tc>
      </w:tr>
    </w:tbl>
    <w:p w14:paraId="504D9FA9" w14:textId="06438305" w:rsidR="00BC00BA" w:rsidRPr="004F795A" w:rsidRDefault="00BC00BA" w:rsidP="00346CF4">
      <w:pPr>
        <w:jc w:val="left"/>
        <w:rPr>
          <w:color w:val="262626" w:themeColor="text1" w:themeTint="D9"/>
          <w:sz w:val="44"/>
        </w:rPr>
      </w:pPr>
      <w:bookmarkStart w:id="0" w:name="_GoBack"/>
      <w:bookmarkEnd w:id="0"/>
    </w:p>
    <w:sectPr w:rsidR="00BC00BA" w:rsidRPr="004F79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1D8FCC" w14:textId="77777777" w:rsidR="00DA442A" w:rsidRDefault="00DA442A" w:rsidP="00346CF4">
      <w:r>
        <w:separator/>
      </w:r>
    </w:p>
  </w:endnote>
  <w:endnote w:type="continuationSeparator" w:id="0">
    <w:p w14:paraId="6A86A990" w14:textId="77777777" w:rsidR="00DA442A" w:rsidRDefault="00DA442A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23E4C3" w14:textId="77777777" w:rsidR="00DA442A" w:rsidRDefault="00DA442A" w:rsidP="00346CF4">
      <w:r>
        <w:separator/>
      </w:r>
    </w:p>
  </w:footnote>
  <w:footnote w:type="continuationSeparator" w:id="0">
    <w:p w14:paraId="07FF8582" w14:textId="77777777" w:rsidR="00DA442A" w:rsidRDefault="00DA442A" w:rsidP="00346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313"/>
    <w:rsid w:val="00003E9A"/>
    <w:rsid w:val="0010702D"/>
    <w:rsid w:val="00162813"/>
    <w:rsid w:val="002863DB"/>
    <w:rsid w:val="002A5C3F"/>
    <w:rsid w:val="002C075B"/>
    <w:rsid w:val="002D7CBC"/>
    <w:rsid w:val="00346CF4"/>
    <w:rsid w:val="0039483A"/>
    <w:rsid w:val="00410654"/>
    <w:rsid w:val="004C7BA8"/>
    <w:rsid w:val="004F26C4"/>
    <w:rsid w:val="004F795A"/>
    <w:rsid w:val="00503958"/>
    <w:rsid w:val="00687C57"/>
    <w:rsid w:val="00817177"/>
    <w:rsid w:val="00842FBD"/>
    <w:rsid w:val="008D5075"/>
    <w:rsid w:val="009E13F9"/>
    <w:rsid w:val="00AC6313"/>
    <w:rsid w:val="00B04023"/>
    <w:rsid w:val="00B34B6D"/>
    <w:rsid w:val="00B86AB3"/>
    <w:rsid w:val="00BC00BA"/>
    <w:rsid w:val="00C046A9"/>
    <w:rsid w:val="00C5545A"/>
    <w:rsid w:val="00C67410"/>
    <w:rsid w:val="00D44C76"/>
    <w:rsid w:val="00DA442A"/>
    <w:rsid w:val="00E26DA4"/>
    <w:rsid w:val="00EA7B84"/>
    <w:rsid w:val="00F66E4C"/>
    <w:rsid w:val="00FE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17C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46CF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46CF4"/>
    <w:rPr>
      <w:sz w:val="18"/>
      <w:szCs w:val="18"/>
    </w:rPr>
  </w:style>
  <w:style w:type="table" w:styleId="a5">
    <w:name w:val="Table Grid"/>
    <w:basedOn w:val="a1"/>
    <w:uiPriority w:val="39"/>
    <w:rsid w:val="009E13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46CF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46CF4"/>
    <w:rPr>
      <w:sz w:val="18"/>
      <w:szCs w:val="18"/>
    </w:rPr>
  </w:style>
  <w:style w:type="table" w:styleId="a5">
    <w:name w:val="Table Grid"/>
    <w:basedOn w:val="a1"/>
    <w:uiPriority w:val="39"/>
    <w:rsid w:val="009E13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15</cp:revision>
  <dcterms:created xsi:type="dcterms:W3CDTF">2024-12-10T06:47:00Z</dcterms:created>
  <dcterms:modified xsi:type="dcterms:W3CDTF">2025-06-26T14:57:00Z</dcterms:modified>
</cp:coreProperties>
</file>