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160"/>
        <w:jc w:val="center"/>
      </w:pPr>
      <w:r>
        <w:rPr>
          <w:rFonts w:ascii="Calibri" w:hAnsi="Calibri" w:eastAsia="Microsoft YaHei"/>
          <w:b/>
          <w:color w:val="2E74B5"/>
          <w:sz w:val="20"/>
        </w:rPr>
        <w:t>深圳考点 · 三级 / 高级工</w:t>
      </w:r>
    </w:p>
    <w:p>
      <w:pPr>
        <w:spacing w:after="140"/>
        <w:jc w:val="center"/>
      </w:pPr>
      <w:r>
        <w:rPr>
          <w:rFonts w:ascii="Calibri" w:hAnsi="Calibri" w:eastAsia="Microsoft YaHei"/>
          <w:b/>
          <w:color w:val="17212B"/>
          <w:sz w:val="60"/>
        </w:rPr>
        <w:t>答案解析与复习重点</w:t>
      </w:r>
    </w:p>
    <w:p>
      <w:pPr>
        <w:spacing w:after="440"/>
        <w:jc w:val="center"/>
      </w:pPr>
      <w:r>
        <w:rPr>
          <w:rFonts w:ascii="Calibri" w:hAnsi="Calibri" w:eastAsia="Microsoft YaHei"/>
          <w:color w:val="5F6B76"/>
          <w:sz w:val="27"/>
        </w:rPr>
        <w:t>对应《全真模拟试卷 A》｜先模拟，后核分，再按薄弱模块复习</w:t>
      </w:r>
    </w:p>
    <w:p>
      <w:pPr>
        <w:spacing w:before="400"/>
        <w:jc w:val="center"/>
      </w:pPr>
      <w:r>
        <w:rPr>
          <w:rFonts w:ascii="Calibri" w:hAnsi="Calibri" w:eastAsia="Microsoft YaHei"/>
          <w:b/>
          <w:color w:val="2F6B4F"/>
          <w:sz w:val="24"/>
        </w:rPr>
        <w:t>建议目标：理论 ≥ 75 分｜实操 ≥ 70 分</w:t>
      </w:r>
    </w:p>
    <w:p>
      <w:pPr>
        <w:spacing w:before="1400"/>
        <w:jc w:val="center"/>
      </w:pPr>
      <w:r>
        <w:rPr>
          <w:rFonts w:ascii="Calibri" w:hAnsi="Calibri" w:eastAsia="Microsoft YaHei"/>
          <w:color w:val="5F6B76"/>
          <w:sz w:val="19"/>
        </w:rPr>
        <w:t>版本：2026-08 · 模拟 A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使用说明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先做试卷，理论严格计时 90 分钟，实操严格计时 120 分钟。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理论按答案表核分；把错题归入知识模块，不只记 A/B/C/D。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实操按评分点逐项核对；代码必须重新独立输入并运行一次。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把不会的题号或代码报错原文直接发来，例如“单选 37 为什么选 C”或“实操四第 [4] 空报错”。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题量提醒：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较新的本地考试注意事项显示三级为 120 单选、20 多选、40 判断；另有深圳考生回忆为 70/10/20。考试安排可能因机构或考点调整，最终以本人考前短信和现场说明为准。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本卷知识模块分布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50"/>
        <w:gridCol w:w="1836"/>
        <w:gridCol w:w="1836"/>
        <w:gridCol w:w="1838"/>
      </w:tblGrid>
      <w:tr>
        <w:trPr>
          <w:tblHeader w:val="true"/>
        </w:trP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模块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单选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多选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判断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职业规范与法律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计算机与数据基础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16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人工智能与机器学习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数据采集与处理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数据标注与质量检验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18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系统交互与业务流程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测试运维与项目培训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理论答案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一、单项选择题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1352"/>
        <w:gridCol w:w="520"/>
        <w:gridCol w:w="1352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二、多项选择题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3224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ACE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17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AE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ACD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三、判断题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1352"/>
        <w:gridCol w:w="520"/>
        <w:gridCol w:w="1352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实操参考答案与评分点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第一题  业务流程设计（10 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节点答案：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A＝制定全样检验规则与检查清单；B＝记录问题并退回返修；C＝对返修结果复检；D＝汇总结果、出具质检报告并交付。</w:t>
            </w:r>
          </w:p>
        </w:tc>
      </w:tr>
    </w:tbl>
    <w:p>
      <w:pPr>
        <w:spacing w:after="40"/>
      </w:pPr>
    </w:p>
    <w:p>
      <w:r>
        <w:t>参考流程：开始 → 接收标注数据 → 制定规则/清单 → 逐条检查 → 是否合格？不合格则记录问题并返修 → 复检；合格则判断是否全部完成，未完成进入下一条，完成后汇总并出具报告 → 结束。</w:t>
      </w:r>
    </w:p>
    <w:p>
      <w:r>
        <w:t>优化说明示例：先用规则校验和脚本检查格式、空标、越界框等机械错误，再由人工全样核查语义质量；按错误类型分层返修，对高风险类别安排双人复核；使用统一缺陷码和质检看板，减少重复沟通，同时保留全量检查记录与抽查复盘。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流程完整且方向正确 6 分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图形规范、判断分支清晰 2 分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优化说明可执行 2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第二题  业务模块效果优化（15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cv2.convertScaleAbs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np.random.uniform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cv2.filter2D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cv2.GaussianBlur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fig, axes = plt.subplots(2, 2, figsize=(10, 7))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images = [bright_image, noisy_image, sharpened_image, blurred_image]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titles = ['Brightness', 'Noise', 'Sharpen', 'Gaussian blur']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for ax, img, title in zip(axes.ravel(), images, titles):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ax.imshow(cv2.cvtColor(img, cv2.COLOR_BGR2RGB))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ax.set_title(title)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ax.axis('off')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plt.tight_layout()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plt.show()</w:t>
      </w:r>
    </w:p>
    <w:p>
      <w:r>
        <w:t>随机噪声让模型适应传感器扰动和像素波动；高斯模糊模拟失焦、运动或低清晰度。二者都增加训练样本变化，但前者改变局部像素，后者平滑高频细节。增强强度必须保持类别语义不变。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四处代码各 2 分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四图正确显示 4 分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原理说明 3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第三题  数据处理规范制定（15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df.head(10)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df['评论内容']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df['评分'] &gt;= 3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pd.to_datetime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print('清洗前记录数：', len(pd.DataFrame(data)))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print('清洗后记录数：', len(df_filtered))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print('缺失值：')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print(df.isna().sum())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print('重复记录数：', df.duplicated().sum())</w:t>
      </w:r>
    </w:p>
    <w:p>
      <w:r>
        <w:t>保留原始数据可在规则错误或误删时回滚；清洗日志应记录时间、操作者、规则、影响行数和版本，从而支持审计、问题定位、复现训练集和比较不同清洗策略。注意：混合日期格式在不同 Pandas 版本中可能需要逐项解析。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四处代码各 2 分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统计正确 3 分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日志与备份说明 4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第四题  算法测试（20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 train_test_split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 0.2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 StandardScaler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 transform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[5] fit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# [6] accuracy_score</w:t>
      </w:r>
    </w:p>
    <w:p>
      <w:r>
        <w:t>只在训练集上 fit 缩放器，是为了避免测试集统计量泄漏到训练过程。precision 表示预测为某类的样本中有多少预测正确；recall 表示真实属于某类的样本中有多少被找出；F1 是 precision 与 recall 的调和平均。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代码补全与成功运行 10 分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指标解释 4 分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防止数据泄漏 2 分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可复现性：固定 random_state、锁定数据/依赖版本；改进：调参、交叉验证、特征工程、类别不平衡处理，答出四项共 4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第五题  智能系统设计（35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'抱歉，我还没有理解。请换一种说法，或输入“理论”“实操”。'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&lt;category&gt;&lt;pattern&gt;考试几点开始&lt;/pattern&gt;&lt;template&gt;请以考前短信为准；本地资料示例为实操8:30、理论11:00。&lt;/template&gt;&lt;/category&gt;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learn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respond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规则覆盖：整理高频意图、同义表达和通配模式，并设置规则优先级。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输入规范化：统一空格、大小写、全半角、常见错别字和日期表达。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日志与失败样本：记录未命中、低满意度和人工转接原因，定期聚类补规则。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版本与回归测试：规则、词典、代码均版本化；每次发布前跑固定测试集并比较命中率。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安全与体验：敏感信息脱敏；兜底回答提供明确下一步，不编造考试安排。</w:t>
      </w:r>
    </w:p>
    <w:p>
      <w:r>
        <w:t>测试用例示例：你好、理论怎么复习、实操怎么练、考试几点开始、报名条件是什么、‘实 操 怎 么 练’。逐条写明预期命中规则或兜底回答。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四处补全与运行 12 分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规则设计 8 分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优化措施 8 分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6 条测试用例 7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第六题  培训与指导（5 分）</w:t>
      </w:r>
    </w:p>
    <w:p>
      <w:r>
        <w:t>推荐顺序：数据定义与任务目标 → 标注规则与样例 → 标注工具介绍 → 试标注与反馈 → 大规模标注作业 → 标注数据审核与返修 → 项目验收与复盘。可在开头简要补充数据训练理论，使学员理解标注质量对模型的影响；人机交互流程设计不是本次岗前培训主线，可放在拓展内容。</w:t>
      </w:r>
    </w:p>
    <w:p>
      <w:pPr>
        <w:numPr>
          <w:ilvl w:val="0"/>
          <w:numId w:val="17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内容选择合理 2 分</w:t>
      </w:r>
    </w:p>
    <w:p>
      <w:pPr>
        <w:numPr>
          <w:ilvl w:val="0"/>
          <w:numId w:val="17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顺序与流程图清晰 2 分</w:t>
      </w:r>
    </w:p>
    <w:p>
      <w:pPr>
        <w:numPr>
          <w:ilvl w:val="0"/>
          <w:numId w:val="17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说明有因果逻辑 1 分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高频复习知识点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复习策略：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理论以刷题和错题回看为主，实操必须亲手运行。资料说明也明确建议把主要精力放在实操。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职业道德、法律与安全</w:t>
      </w:r>
    </w:p>
    <w:p>
      <w:pPr>
        <w:numPr>
          <w:ilvl w:val="0"/>
          <w:numId w:val="18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职业道德：爱岗敬业、诚实守信、办事公道、服务群众、奉献社会；注意题目中的“正确/错误”“包括/不包括”。</w:t>
      </w:r>
    </w:p>
    <w:p>
      <w:pPr>
        <w:numPr>
          <w:ilvl w:val="0"/>
          <w:numId w:val="18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数据合规：合法、正当、必要；明确用途与权限；最小化采集；敏感数据脱敏；留存访问、修改和导出记录。</w:t>
      </w:r>
    </w:p>
    <w:p>
      <w:pPr>
        <w:numPr>
          <w:ilvl w:val="0"/>
          <w:numId w:val="18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安全：账号权限分级、强密码/多因素认证、备份与恢复、恶意代码防范、工作区用电和设备安全。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人工智能与机器学习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监督学习有标签，常见任务是分类与回归；无监督学习无标签，常见任务是聚类、降维和异常检测。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训练集用于拟合，验证集用于调参，测试集只用于最终评估；任何测试集统计量进入训练都可能造成数据泄漏。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过拟合：训练好、测试差；可增加数据、正则化、降低复杂度、早停或交叉验证。欠拟合：训练与测试都差；可增强特征或模型能力。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分类指标：accuracy 适合类别较均衡；precision 重视误报；recall 重视漏报；F1 平衡二者；混淆矩阵看 TP/FP/FN/TN。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数据采集、清洗与预处理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采集前明确目标、字段、来源、频率、格式、权限和验收标准；采集后校验完整性、唯一性、有效性、一致性和及时性。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清洗顺序常用：备份原始数据 → 读取/查看 → 类型转换 → 缺失与重复处理 → 异常检测 → 标准化/编码 → 质量复核 → 版本化保存。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缺失值可删除或填充；重复用 duplicated/drop_duplicates；日期用 to_datetime；条件筛选用布尔索引；合并用 merge/concat。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标准化通常转为均值 0、标准差 1；归一化常映射到固定区间。fit 只在训练集完成，再对验证/测试集 transform。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数据标注与质量检验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基本流程：需求分析 → 制定规则/样例 → 工具配置 → 标注员培训 → 试标注 → 规则迭代 → 批量标注 → 质检返修 → 验收交付 → 维护更新。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实时检验边做边查，反馈快；全样检验覆盖全部，成本最高；抽样检验效率高但有漏检风险；混合检验按风险分层组合使用。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质量指标可包括准确率、一致性、完整率、漏标率、错标率和返修率；争议样本应仲裁并回写规则库。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标注数据要可追溯：样本 ID、来源、规则版本、标注人、审核人、时间、修改记录、缺陷类型和处理结果。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图像处理常考函数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OpenCV 读取为 BGR；Matplotlib 显示前常用 cv2.cvtColor(img, cv2.COLOR_BGR2RGB)。shape 通常为高、宽、通道；dtype 常为 uint8；size 为元素总数。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灰度 cvtColor；缩放 resize；翻转 flip；旋转 getRotationMatrix2D + warpAffine；亮度 convertScaleAbs；高斯模糊 GaussianBlur。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锐化/边缘增强 filter2D；形态学 morphologyEx 或 erode/dilate；直方图均衡 equalizeHist；随机噪声 np.random.uniform/normal。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截图前检查：变量名一致、函数括号完整、色彩显示正确、所有单元格已运行、输出未报错。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 Pandas、NumPy 与模型代码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Pandas：read_csv、head、info、describe、isna().sum、dropna、fillna、drop_duplicates、loc/iloc、groupby、merge、to_datetime。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NumPy：array、shape、dtype、size、reshape、mean/std、where、clip、random.uniform；注意 axis=0 按列、axis=1 按行。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模型通用骨架：划分 X/y → train_test_split → 仅训练集 fit 预处理器 → fit 模型 → predict → 指标 → 保存结果。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调试顺序：先看完整报错最后一行，再核对文件路径、列名、缩进、括号、变量是否先定义、数据形状和数据类型。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 流程图、人机交互与培训</w:t>
      </w:r>
    </w:p>
    <w:p>
      <w:pPr>
        <w:numPr>
          <w:ilvl w:val="0"/>
          <w:numId w:val="2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流程图：椭圆表示开始/结束，矩形表示处理，菱形表示判断，平行四边形表示输入/输出；判断分支标清“是/否”。</w:t>
      </w:r>
    </w:p>
    <w:p>
      <w:pPr>
        <w:numPr>
          <w:ilvl w:val="0"/>
          <w:numId w:val="2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人机交互流程应包含正常路径、取消/返回、输入校验、异常提示、重试、人工转接、结果确认和日志记录。</w:t>
      </w:r>
    </w:p>
    <w:p>
      <w:pPr>
        <w:numPr>
          <w:ilvl w:val="0"/>
          <w:numId w:val="2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培训大纲遵循“目标 → 原理/规则 → 工具演示 → 练习 → 反馈 → 考核 → 复盘”，每一模块写清目标、方法、时间和验收标准。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必须背会的代码骨架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import pandas as pd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 = pd.read_csv('data.csv')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print(df.head(10))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print(df.info())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print(df.describe(include='all'))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print(df.isna().sum())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 = df.drop_duplicates()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df['日期'] = pd.to_datetime(df['日期'], errors='coerce')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 = df[df['评分'] &gt;= 3].copy()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sklearn.model_selection import train_test_split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 = df.drop(columns=['标签'])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y = df['标签']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X_train, X_test, y_train, y_test = train_test_split(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X, y, test_size=0.2, random_state=42, stratify=y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sklearn.preprocessing import StandardScaler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scaler = StandardScaler()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X_train = scaler.fit_transform(X_train)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X_test = scaler.transform(X_test)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sklearn.linear_model import LogisticRegression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sklearn.metrics import accuracy_score, classification_report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model = LogisticRegression(max_iter=500)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model.fit(X_train, y_train)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y_pred = model.predict(X_test)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print(accuracy_score(y_test, y_pred))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print(classification_report(y_test, y_pred))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import cv2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import numpy as np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img = cv2.imread('image.jpg')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print(img.shape, img.dtype, img.size)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gray = cv2.cvtColor(img, cv2.COLOR_BGR2GRAY)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rgb = cv2.cvtColor(img, cv2.COLOR_BGR2RGB)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small = cv2.resize(img, (320, 240))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flip_h = cv2.flip(img, 1)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bright = cv2.convertScaleAbs(img, alpha=1.2, beta=25)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blur = cv2.GaussianBlur(img, (9, 9), 0)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kernel = np.array([[0,-1,0],[-1,5,-1],[0,-1,0]])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sharp = cv2.filter2D(img, -1, kernel)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模拟与考试当天清单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确认考前短信中的日期、地址、题量和开考顺序；本地资料出现过两种理论题量版本，现场通知优先。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提前测试 Jupyter、draw.io/流程图软件和截图工具；会使用 Ctrl+C、Ctrl+V、Ctrl+S。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实操先浏览 6 题：先做能直接补函数的代码题，再做解释题，流程图和系统设计留出完整截图时间。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每完成一小问就运行并保存；截图包含题号、关键代码、输出结果，避免只截结果。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理论最后 10 分钟检查：多选是否漏选、判断是否看反“正确/错误”、是否存在未作答。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提交前逐题确认答案区有内容；模拟资料特别提醒，不要在练习阶段误点不可逆的“提交试卷”。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 天冲刺安排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3700"/>
        <w:gridCol w:w="19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天数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理论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实操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当日验收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单选 120 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Pandas 读取/筛选/日期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错题≤25%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多选 40 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图像读取/灰度/缩放/翻转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代码独立运行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判断 100 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亮度/噪声/模糊/锐化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函数能默写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机器学习专题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划分/标准化/分类/指标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完成 1 套模型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标注质检专题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流程图 + 培训大纲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20 分钟完成图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D6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本卷理论限时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本卷实操限时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分别≥70 分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D7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只看错题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只练薄弱函数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设备与证件确认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错题记录模板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800"/>
        <w:gridCol w:w="2900"/>
        <w:gridCol w:w="1930"/>
        <w:gridCol w:w="1930"/>
      </w:tblGrid>
      <w:tr>
        <w:trPr>
          <w:tblHeader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题号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模块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错因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正确规则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复做日期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B76"/>
        <w:sz w:val="17"/>
      </w:rPr>
      <w:t>人工智能训练师三级 · 答案与复习重点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after="100" w:line="276" w:lineRule="auto"/>
      <w:ind w:left="432" w:hanging="432"/>
    </w:pPr>
    <w:rPr>
      <w:rFonts w:ascii="Calibri" w:hAnsi="Calibri" w:eastAsia="Microsoft YaHei"/>
      <w:b w:val="0"/>
      <w:color w:val="17212B"/>
      <w:sz w:val="21"/>
    </w:rPr>
  </w:style>
  <w:style w:type="paragraph" w:customStyle="1" w:styleId="Option">
    <w:name w:val="Option"/>
    <w:pPr>
      <w:spacing w:after="40" w:line="276" w:lineRule="auto"/>
      <w:ind w:left="778" w:hanging="346"/>
    </w:pPr>
    <w:rPr>
      <w:rFonts w:ascii="Calibri" w:hAnsi="Calibri" w:eastAsia="Microsoft YaHei"/>
      <w:b w:val="0"/>
      <w:color w:val="17212B"/>
      <w:sz w:val="20"/>
    </w:rPr>
  </w:style>
  <w:style w:type="paragraph" w:customStyle="1" w:styleId="Compact">
    <w:name w:val="Compact"/>
    <w:pPr>
      <w:spacing w:after="60" w:line="276" w:lineRule="auto"/>
    </w:pPr>
    <w:rPr>
      <w:rFonts w:ascii="Calibri" w:hAnsi="Calibri" w:eastAsia="Microsoft YaHei"/>
      <w:b w:val="0"/>
      <w:color w:val="17212B"/>
      <w:sz w:val="19"/>
    </w:rPr>
  </w:style>
  <w:style w:type="paragraph" w:customStyle="1" w:styleId="Answer">
    <w:name w:val="Answer"/>
    <w:pPr>
      <w:spacing w:after="100" w:line="300" w:lineRule="auto"/>
    </w:pPr>
    <w:rPr>
      <w:rFonts w:ascii="Calibri" w:hAnsi="Calibri" w:eastAsia="Microsoft YaHei"/>
      <w:b w:val="0"/>
      <w:color w:val="17212B"/>
      <w:sz w:val="21"/>
    </w:rPr>
  </w:style>
  <w:style w:type="paragraph" w:customStyle="1" w:styleId="CodeBlock">
    <w:name w:val="CodeBlock"/>
    <w:pPr>
      <w:spacing w:before="0" w:after="0" w:line="240" w:lineRule="auto"/>
      <w:ind w:left="317" w:right="144"/>
    </w:pPr>
    <w:rPr>
      <w:rFonts w:ascii="Consolas" w:hAnsi="Consolas" w:eastAsia="Microsoft YaHei"/>
      <w:b w:val="0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深圳人工智能训练师三级答案解析与复习重点</dc:title>
  <dc:subject>模拟试卷A答案、实操评分点与复习清单</dc:subject>
  <dc:creator>备考模拟材料</dc:creator>
  <cp:keywords>人工智能训练师,三级,深圳,答案,复习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