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 w:after="160"/>
        <w:jc w:val="center"/>
      </w:pPr>
      <w:r>
        <w:rPr>
          <w:rFonts w:ascii="Calibri" w:hAnsi="Calibri" w:eastAsia="Microsoft YaHei"/>
          <w:b/>
          <w:color w:val="2E74B5"/>
          <w:sz w:val="20"/>
        </w:rPr>
        <w:t>深圳西工大考点 · 三级 / 高级工</w:t>
      </w:r>
    </w:p>
    <w:p>
      <w:pPr>
        <w:spacing w:after="140"/>
        <w:jc w:val="center"/>
      </w:pPr>
      <w:r>
        <w:rPr>
          <w:rFonts w:ascii="Calibri" w:hAnsi="Calibri" w:eastAsia="Microsoft YaHei"/>
          <w:b/>
          <w:color w:val="17212B"/>
          <w:sz w:val="60"/>
        </w:rPr>
        <w:t>模拟卷 D 答案与实操解析</w:t>
      </w:r>
    </w:p>
    <w:p>
      <w:pPr>
        <w:spacing w:after="440"/>
        <w:jc w:val="center"/>
      </w:pPr>
      <w:r>
        <w:rPr>
          <w:rFonts w:ascii="Calibri" w:hAnsi="Calibri" w:eastAsia="Microsoft YaHei"/>
          <w:color w:val="5F6B76"/>
          <w:sz w:val="27"/>
        </w:rPr>
        <w:t>先独立作答，再核分；实操按评分点逐项检查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理论答案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一、单项选择题（70题）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1352"/>
        <w:gridCol w:w="520"/>
        <w:gridCol w:w="1352"/>
        <w:gridCol w:w="520"/>
        <w:gridCol w:w="1352"/>
        <w:gridCol w:w="520"/>
        <w:gridCol w:w="1352"/>
        <w:gridCol w:w="520"/>
        <w:gridCol w:w="1352"/>
      </w:tblGrid>
      <w:tr>
        <w:trPr>
          <w:tblHeader w:val="true"/>
        </w:trP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二、多项选择题（10题）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1352"/>
        <w:gridCol w:w="520"/>
        <w:gridCol w:w="1352"/>
        <w:gridCol w:w="520"/>
        <w:gridCol w:w="1352"/>
        <w:gridCol w:w="520"/>
        <w:gridCol w:w="1352"/>
        <w:gridCol w:w="520"/>
        <w:gridCol w:w="1352"/>
      </w:tblGrid>
      <w:tr>
        <w:trPr>
          <w:tblHeader w:val="true"/>
        </w:trP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CDE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ACDE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BCE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AD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ABCDE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ABCDE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ABCDE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ABCDE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三、判断题（20题）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1352"/>
        <w:gridCol w:w="520"/>
        <w:gridCol w:w="1352"/>
        <w:gridCol w:w="520"/>
        <w:gridCol w:w="1352"/>
        <w:gridCol w:w="520"/>
        <w:gridCol w:w="1352"/>
        <w:gridCol w:w="520"/>
        <w:gridCol w:w="1352"/>
      </w:tblGrid>
      <w:tr>
        <w:trPr>
          <w:tblHeader w:val="true"/>
        </w:trP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实操参考答案与评分点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总体原则：</w:t>
            </w:r>
            <w:r>
              <w:rPr>
                <w:rFonts w:ascii="Calibri" w:hAnsi="Calibri" w:eastAsia="Microsoft YaHei"/>
                <w:color w:val="17212B"/>
                <w:sz w:val="21"/>
              </w:rPr>
              <w:t>实操不是背理论定义，而是按题目把系统配置、代码、图表、流程图和简答完成并保存。代码只写不运行、流程图不保存、字段顺序错误，都可能丢分。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业务分析</w:t>
      </w:r>
    </w:p>
    <w:p>
      <w:pPr>
        <w:numPr>
          <w:ilvl w:val="0"/>
          <w:numId w:val="10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SQL：数据集名称、表名/别名、字段别名、筛选范围分别计分。</w:t>
      </w:r>
    </w:p>
    <w:p>
      <w:pPr>
        <w:numPr>
          <w:ilvl w:val="0"/>
          <w:numId w:val="10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BI：分组、维度列、指标列、字段别名要按题目顺序拖放。</w:t>
      </w:r>
    </w:p>
    <w:p>
      <w:pPr>
        <w:numPr>
          <w:ilvl w:val="0"/>
          <w:numId w:val="10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过滤条件：名称和条件分别计分；注意“且”与边界值。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智能训练</w:t>
      </w:r>
    </w:p>
    <w:p>
      <w:pPr>
        <w:numPr>
          <w:ilvl w:val="0"/>
          <w:numId w:val="11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数据规范：read_csv/read_excel/load_iris、head/tail/info/describe/shape/dtypes、isna/dropna/fillna/duplicated/drop_duplicates是高频点。</w:t>
      </w:r>
    </w:p>
    <w:p>
      <w:pPr>
        <w:numPr>
          <w:ilvl w:val="0"/>
          <w:numId w:val="11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绘图：先明确图表类型，再核对字段、标题、坐标轴和show。</w:t>
      </w:r>
    </w:p>
    <w:p>
      <w:pPr>
        <w:numPr>
          <w:ilvl w:val="0"/>
          <w:numId w:val="11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算法测试：X/y划分、train_test_split、reshape、模型fit、score/predict是必拿分骨架；难题可能增加标准化、Pipeline或classification_report。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智能系统设计</w:t>
      </w:r>
    </w:p>
    <w:p>
      <w:pPr>
        <w:numPr>
          <w:ilvl w:val="0"/>
          <w:numId w:val="12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图表题按选择数据集、标题/类型、字段拖放、过滤统计、系统选择题逐项得分。</w:t>
      </w:r>
    </w:p>
    <w:p>
      <w:pPr>
        <w:numPr>
          <w:ilvl w:val="0"/>
          <w:numId w:val="12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流程图题要有开始/结束、处理框、判断框、是/否分支和闭环返回；异常路径不能断。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培训与指导</w:t>
      </w:r>
    </w:p>
    <w:p>
      <w:r>
        <w:t>简答可采用“问题—原因—解决办法—复核结果”结构。例如：规则不清→统一规则和正反样例→试标注培训→抽样复核并更新规则；漏标错标→双人复核和返修闭环→记录错误类型并复训。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5F6B76"/>
        <w:sz w:val="18"/>
      </w:rPr>
      <w:t xml:space="preserve">第 </w:t>
    </w:r>
    <w:r>
      <w:rPr>
        <w:rFonts w:ascii="Calibri" w:hAnsi="Calibri" w:eastAsia="Microsoft YaHei"/>
        <w:color w:val="5F6B76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F6B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5F6B76"/>
        <w:sz w:val="17"/>
      </w:rPr>
      <w:t>深圳西工大人工智能训练师三级 · 模拟卷D答案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after="100" w:line="276" w:lineRule="auto"/>
      <w:ind w:left="432" w:hanging="432"/>
    </w:pPr>
    <w:rPr>
      <w:rFonts w:ascii="Calibri" w:hAnsi="Calibri" w:eastAsia="Microsoft YaHei"/>
      <w:b w:val="0"/>
      <w:color w:val="17212B"/>
      <w:sz w:val="21"/>
    </w:rPr>
  </w:style>
  <w:style w:type="paragraph" w:customStyle="1" w:styleId="Option">
    <w:name w:val="Option"/>
    <w:pPr>
      <w:spacing w:after="40" w:line="276" w:lineRule="auto"/>
      <w:ind w:left="778" w:hanging="346"/>
    </w:pPr>
    <w:rPr>
      <w:rFonts w:ascii="Calibri" w:hAnsi="Calibri" w:eastAsia="Microsoft YaHei"/>
      <w:b w:val="0"/>
      <w:color w:val="17212B"/>
      <w:sz w:val="20"/>
    </w:rPr>
  </w:style>
  <w:style w:type="paragraph" w:customStyle="1" w:styleId="Compact">
    <w:name w:val="Compact"/>
    <w:pPr>
      <w:spacing w:after="60" w:line="276" w:lineRule="auto"/>
    </w:pPr>
    <w:rPr>
      <w:rFonts w:ascii="Calibri" w:hAnsi="Calibri" w:eastAsia="Microsoft YaHei"/>
      <w:b w:val="0"/>
      <w:color w:val="17212B"/>
      <w:sz w:val="19"/>
    </w:rPr>
  </w:style>
  <w:style w:type="paragraph" w:customStyle="1" w:styleId="Answer">
    <w:name w:val="Answer"/>
    <w:pPr>
      <w:spacing w:after="100" w:line="300" w:lineRule="auto"/>
    </w:pPr>
    <w:rPr>
      <w:rFonts w:ascii="Calibri" w:hAnsi="Calibri" w:eastAsia="Microsoft YaHei"/>
      <w:b w:val="0"/>
      <w:color w:val="17212B"/>
      <w:sz w:val="21"/>
    </w:rPr>
  </w:style>
  <w:style w:type="paragraph" w:customStyle="1" w:styleId="CodeBlock">
    <w:name w:val="CodeBlock"/>
    <w:pPr>
      <w:spacing w:before="0" w:after="0" w:line="240" w:lineRule="auto"/>
      <w:ind w:left="317" w:right="144"/>
    </w:pPr>
    <w:rPr>
      <w:rFonts w:ascii="Consolas" w:hAnsi="Consolas" w:eastAsia="Microsoft YaHei"/>
      <w:b w:val="0"/>
      <w:color w:val="1F29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深圳西工大人工智能训练师三级模拟卷D答案与实操解析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