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Implement Client Script &amp; UI Policy (Incident)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SWTID-2026-4475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t>Implementation Details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Project team shall fill the following information in the implementation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>
            <w:r>
              <w:t>Implementation Summary</w:t>
            </w:r>
          </w:p>
        </w:tc>
        <w:tc>
          <w:tcPr/>
          <w:p>
            <w:r>
              <w:t>Implemented a Client Script and UI Policy on the Incident form to control field behavior and improve the incident handling process.</w:t>
            </w:r>
          </w:p>
        </w:tc>
        <w:tc>
          <w:tcPr/>
          <w:p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>
            <w:r>
              <w:t>Client Script</w:t>
            </w:r>
          </w:p>
        </w:tc>
        <w:tc>
          <w:tcPr/>
          <w:p>
            <w:r>
              <w:t>Client Script is used to apply client-side logic on the Incident form. It controls field values or behavior based on the required incident conditions.</w:t>
            </w:r>
          </w:p>
        </w:tc>
        <w:tc>
          <w:tcPr/>
          <w:p>
            <w:r/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UI Policy</w:t>
            </w:r>
          </w:p>
        </w:tc>
        <w:tc>
          <w:tcPr/>
          <w:p>
            <w:r>
              <w:t>UI Policy is configured on the Incident form to control field visibility, mandatory status, and read-only behavior according to the defined conditions.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