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29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SWTID-2026-4475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Implement Client Script &amp; UI Policy (Incident)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Solution architecture diagram: Client Script and UI Policy on the Incident form (browser side, ServiceNow server, and release by Update Se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diagram: Client Script and UI Policy on the Incident form (browser side, ServiceNow server, and release by Update Set)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Client Script and UI Policy on the Incident form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https://www.servicenow.com/docs/r/platform-administration/t_CreateAUIPolicy.html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ervicenow.com/docs/r/platform-administration/t_CreateAUIPolicy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