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Menu Bar Location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What the hospice has right now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 leftmost item carry more visual weight than the other items because of its placement in the primary optical area (top left).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Items in the top left get more exposure.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Left nav takes more priority because there is no balance navigation at the right side.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Items in a top navigation do not have equal weight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Top navigations are also easier to find because they are usually accompanied by the header and logo, both of which are visually dominant objects.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Takes up less space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Something New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Left navigation items are not always above the fold because sometimes if you have too many items, some of them can get pushed below the 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Every item carry equal visual weight, which the hospice should have because their links on banner should be equally important (Home, About Us, Donate)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</w:t>
        <w:tab/>
        <w:t xml:space="preserve">Bottom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 some links like contact us,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