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Horizon Watches 运营手册</w:t>
      </w:r>
    </w:p>
    <w:p>
      <w:r>
        <w:t>版本: v2.0 | 更新日期: 2026-03-15 | 编制: S1</w:t>
      </w:r>
    </w:p>
    <w:p/>
    <w:p>
      <w:pPr>
        <w:pStyle w:val="Heading1"/>
      </w:pPr>
      <w:r>
        <w:t>一、项目概况</w:t>
      </w:r>
    </w:p>
    <w:p>
      <w:pPr>
        <w:pStyle w:val="Heading2"/>
      </w:pPr>
      <w:r>
        <w:t>1.1 项目定位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品牌名</w:t>
            </w:r>
          </w:p>
        </w:tc>
        <w:tc>
          <w:tcPr>
            <w:tcW w:type="dxa" w:w="4320"/>
          </w:tcPr>
          <w:p>
            <w:r>
              <w:t>Horizon Watches</w:t>
            </w:r>
          </w:p>
        </w:tc>
      </w:tr>
      <w:tr>
        <w:tc>
          <w:tcPr>
            <w:tcW w:type="dxa" w:w="4320"/>
          </w:tcPr>
          <w:p>
            <w:r>
              <w:t>定位</w:t>
            </w:r>
          </w:p>
        </w:tc>
        <w:tc>
          <w:tcPr>
            <w:tcW w:type="dxa" w:w="4320"/>
          </w:tcPr>
          <w:p>
            <w:r>
              <w:t>欧洲独立站D2C手表电商</w:t>
            </w:r>
          </w:p>
        </w:tc>
      </w:tr>
      <w:tr>
        <w:tc>
          <w:tcPr>
            <w:tcW w:type="dxa" w:w="4320"/>
          </w:tcPr>
          <w:p>
            <w:r>
              <w:t>目标市场</w:t>
            </w:r>
          </w:p>
        </w:tc>
        <w:tc>
          <w:tcPr>
            <w:tcW w:type="dxa" w:w="4320"/>
          </w:tcPr>
          <w:p>
            <w:r>
              <w:t>德国、法国、意大利、西班牙等17国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14款劳力士风格腕表</w:t>
            </w:r>
          </w:p>
        </w:tc>
      </w:tr>
      <w:tr>
        <w:tc>
          <w:tcPr>
            <w:tcW w:type="dxa" w:w="4320"/>
          </w:tcPr>
          <w:p>
            <w:r>
              <w:t>客单价</w:t>
            </w:r>
          </w:p>
        </w:tc>
        <w:tc>
          <w:tcPr>
            <w:tcW w:type="dxa" w:w="4320"/>
          </w:tcPr>
          <w:p>
            <w:r>
              <w:t>€69-89</w:t>
            </w:r>
          </w:p>
        </w:tc>
      </w:tr>
      <w:tr>
        <w:tc>
          <w:tcPr>
            <w:tcW w:type="dxa" w:w="4320"/>
          </w:tcPr>
          <w:p>
            <w:r>
              <w:t>毛利率</w:t>
            </w:r>
          </w:p>
        </w:tc>
        <w:tc>
          <w:tcPr>
            <w:tcW w:type="dxa" w:w="4320"/>
          </w:tcPr>
          <w:p>
            <w:r>
              <w:t>平均50.6%</w:t>
            </w:r>
          </w:p>
        </w:tc>
      </w:tr>
    </w:tbl>
    <w:p>
      <w:pPr>
        <w:pStyle w:val="Heading2"/>
      </w:pPr>
      <w:r>
        <w:t>1.2 核心资源</w:t>
      </w:r>
    </w:p>
    <w:p>
      <w:pPr>
        <w:pStyle w:val="ListBullet"/>
      </w:pPr>
      <w:r>
        <w:t>供应链: ✓ 已确认（STAR提供）</w:t>
      </w:r>
    </w:p>
    <w:p>
      <w:pPr>
        <w:pStyle w:val="ListBullet"/>
      </w:pPr>
      <w:r>
        <w:t>物流渠道: ✓ 欧洲敏感专线，9-15工作日</w:t>
      </w:r>
    </w:p>
    <w:p>
      <w:pPr>
        <w:pStyle w:val="ListBullet"/>
      </w:pPr>
      <w:r>
        <w:t>技术栈: Next.js + Vercel + Prisma + Supabase</w:t>
      </w:r>
    </w:p>
    <w:p>
      <w:pPr>
        <w:pStyle w:val="ListBullet"/>
      </w:pPr>
      <w:r>
        <w:t>支付方式: PayPal + USDT(TRC20)</w:t>
      </w:r>
    </w:p>
    <w:p>
      <w:pPr>
        <w:pStyle w:val="Heading1"/>
      </w:pPr>
      <w:r>
        <w:t>二、网站运营</w:t>
      </w:r>
    </w:p>
    <w:p>
      <w:pPr>
        <w:pStyle w:val="Heading2"/>
      </w:pPr>
      <w:r>
        <w:t>2.1 网站地址</w:t>
      </w:r>
    </w:p>
    <w:p>
      <w:r>
        <w:t>生产环境: https://frontend-bxupmyqv8-999huamao-ctrls-projects.vercel.app</w:t>
      </w:r>
    </w:p>
    <w:p>
      <w:r>
        <w:t>管理后台: /admin</w:t>
      </w:r>
    </w:p>
    <w:p>
      <w:pPr>
        <w:pStyle w:val="Heading2"/>
      </w:pPr>
      <w:r>
        <w:t>2.2 后台账号体系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账号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密码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>
              <w:t>superadmin</w:t>
            </w:r>
          </w:p>
        </w:tc>
        <w:tc>
          <w:tcPr>
            <w:tcW w:type="dxa" w:w="2160"/>
          </w:tcPr>
          <w:p>
            <w:r>
              <w:t>super123</w:t>
            </w:r>
          </w:p>
        </w:tc>
        <w:tc>
          <w:tcPr>
            <w:tcW w:type="dxa" w:w="2160"/>
          </w:tcPr>
          <w:p>
            <w:r>
              <w:t>SuperAdmin</w:t>
            </w:r>
          </w:p>
        </w:tc>
        <w:tc>
          <w:tcPr>
            <w:tcW w:type="dxa" w:w="2160"/>
          </w:tcPr>
          <w:p>
            <w:r>
              <w:t>全权限（含钱包设置）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产品、订单、财务、分析</w:t>
            </w:r>
          </w:p>
        </w:tc>
      </w:tr>
      <w:tr>
        <w:tc>
          <w:tcPr>
            <w:tcW w:type="dxa" w:w="2160"/>
          </w:tcPr>
          <w:p>
            <w:r>
              <w:t>supply</w:t>
            </w:r>
          </w:p>
        </w:tc>
        <w:tc>
          <w:tcPr>
            <w:tcW w:type="dxa" w:w="2160"/>
          </w:tcPr>
          <w:p>
            <w:r>
              <w:t>supply123</w:t>
            </w:r>
          </w:p>
        </w:tc>
        <w:tc>
          <w:tcPr>
            <w:tcW w:type="dxa" w:w="2160"/>
          </w:tcPr>
          <w:p>
            <w:r>
              <w:t>Supply</w:t>
            </w:r>
          </w:p>
        </w:tc>
        <w:tc>
          <w:tcPr>
            <w:tcW w:type="dxa" w:w="2160"/>
          </w:tcPr>
          <w:p>
            <w:r>
              <w:t>仅商品管理</w:t>
            </w:r>
          </w:p>
        </w:tc>
      </w:tr>
      <w:tr>
        <w:tc>
          <w:tcPr>
            <w:tcW w:type="dxa" w:w="2160"/>
          </w:tcPr>
          <w:p>
            <w:r>
              <w:t>logistics</w:t>
            </w:r>
          </w:p>
        </w:tc>
        <w:tc>
          <w:tcPr>
            <w:tcW w:type="dxa" w:w="2160"/>
          </w:tcPr>
          <w:p>
            <w:r>
              <w:t>logistics123</w:t>
            </w:r>
          </w:p>
        </w:tc>
        <w:tc>
          <w:tcPr>
            <w:tcW w:type="dxa" w:w="2160"/>
          </w:tcPr>
          <w:p>
            <w:r>
              <w:t>Logistics</w:t>
            </w:r>
          </w:p>
        </w:tc>
        <w:tc>
          <w:tcPr>
            <w:tcW w:type="dxa" w:w="2160"/>
          </w:tcPr>
          <w:p>
            <w:r>
              <w:t>仅订单发货</w:t>
            </w:r>
          </w:p>
        </w:tc>
      </w:tr>
    </w:tbl>
    <w:p>
      <w:pPr>
        <w:pStyle w:val="Heading2"/>
      </w:pPr>
      <w:r>
        <w:t>2.3 3级钱包架构</w:t>
      </w:r>
    </w:p>
    <w:p>
      <w:r>
        <w:t>L1收款钱包 → L2运营钱包 → L3利润钱包</w:t>
      </w:r>
    </w:p>
    <w:p>
      <w:r>
        <w:t>(客户付款)  (40%广告/物流)  (60%利润归STAR)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TGPBhfjSuwjrfGUtdqt6EZUbzhbRCGfC5c</w:t>
            </w:r>
          </w:p>
        </w:tc>
        <w:tc>
          <w:tcPr>
            <w:tcW w:type="dxa" w:w="2880"/>
          </w:tcPr>
          <w:p>
            <w:r>
              <w:t>仅接收客户USDT付款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TCWgr2qGcheRsD7kceoFpJfMg59fFrJGCq</w:t>
            </w:r>
          </w:p>
        </w:tc>
        <w:tc>
          <w:tcPr>
            <w:tcW w:type="dxa" w:w="2880"/>
          </w:tcPr>
          <w:p>
            <w:r>
              <w:t>广告、物流、运营成本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TUyTqV47pd7o3Bg6Uhw5XJ9rwkdgi6tsKb</w:t>
            </w:r>
          </w:p>
        </w:tc>
        <w:tc>
          <w:tcPr>
            <w:tcW w:type="dxa" w:w="2880"/>
          </w:tcPr>
          <w:p>
            <w:r>
              <w:t>最终利润归属</w:t>
            </w:r>
          </w:p>
        </w:tc>
      </w:tr>
    </w:tbl>
    <w:p/>
    <w:p>
      <w:pPr>
        <w:pStyle w:val="ListBullet"/>
      </w:pPr>
      <w:r>
        <w:t>资金流转规则:</w:t>
      </w:r>
    </w:p>
    <w:p>
      <w:pPr>
        <w:pStyle w:val="ListBullet"/>
      </w:pPr>
      <w:r>
        <w:t>每日归集: L1 → L2(40%) + L3(60%)</w:t>
      </w:r>
    </w:p>
    <w:p>
      <w:pPr>
        <w:pStyle w:val="ListBullet"/>
      </w:pPr>
      <w:r>
        <w:t>L2余额低于€50时预警，需补充</w:t>
      </w:r>
    </w:p>
    <w:p>
      <w:pPr>
        <w:pStyle w:val="Heading1"/>
      </w:pPr>
      <w:r>
        <w:t>三、产品管理</w:t>
      </w:r>
    </w:p>
    <w:p>
      <w:pPr>
        <w:pStyle w:val="Heading2"/>
      </w:pPr>
      <w:r>
        <w:t>3.1 产品目录（14款）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SKU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售价€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进货¥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毛利</w:t>
            </w:r>
          </w:p>
        </w:tc>
      </w:tr>
      <w:tr>
        <w:tc>
          <w:tcPr>
            <w:tcW w:type="dxa" w:w="1728"/>
          </w:tcPr>
          <w:p>
            <w:r>
              <w:t>H001</w:t>
            </w:r>
          </w:p>
        </w:tc>
        <w:tc>
          <w:tcPr>
            <w:tcW w:type="dxa" w:w="1728"/>
          </w:tcPr>
          <w:p>
            <w:r>
              <w:t>Submariner Vintage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420</w:t>
            </w:r>
          </w:p>
        </w:tc>
        <w:tc>
          <w:tcPr>
            <w:tcW w:type="dxa" w:w="1728"/>
          </w:tcPr>
          <w:p>
            <w:r>
              <w:t>52.8%</w:t>
            </w:r>
          </w:p>
        </w:tc>
      </w:tr>
      <w:tr>
        <w:tc>
          <w:tcPr>
            <w:tcW w:type="dxa" w:w="1728"/>
          </w:tcPr>
          <w:p>
            <w:r>
              <w:t>H002</w:t>
            </w:r>
          </w:p>
        </w:tc>
        <w:tc>
          <w:tcPr>
            <w:tcW w:type="dxa" w:w="1728"/>
          </w:tcPr>
          <w:p>
            <w:r>
              <w:t>GMT Master II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49.5%</w:t>
            </w:r>
          </w:p>
        </w:tc>
      </w:tr>
      <w:tr>
        <w:tc>
          <w:tcPr>
            <w:tcW w:type="dxa" w:w="1728"/>
          </w:tcPr>
          <w:p>
            <w:r>
              <w:t>H003</w:t>
            </w:r>
          </w:p>
        </w:tc>
        <w:tc>
          <w:tcPr>
            <w:tcW w:type="dxa" w:w="1728"/>
          </w:tcPr>
          <w:p>
            <w:r>
              <w:t>Daytona Classic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47.5%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共14款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平均50.6%</w:t>
            </w:r>
          </w:p>
        </w:tc>
      </w:tr>
    </w:tbl>
    <w:p>
      <w:pPr>
        <w:pStyle w:val="Heading2"/>
      </w:pPr>
      <w:r>
        <w:t>3.2 库存管理</w:t>
      </w:r>
    </w:p>
    <w:p>
      <w:pPr>
        <w:pStyle w:val="ListBullet"/>
      </w:pPr>
      <w:r>
        <w:t>后台操作: Supply角色可编辑库存</w:t>
      </w:r>
    </w:p>
    <w:p>
      <w:pPr>
        <w:pStyle w:val="ListBullet"/>
      </w:pPr>
      <w:r>
        <w:t>低库存预警: &lt;5件标红提醒</w:t>
      </w:r>
    </w:p>
    <w:p>
      <w:pPr>
        <w:pStyle w:val="ListBullet"/>
      </w:pPr>
      <w:r>
        <w:t>补货流程: 库存归零前48小时通知STAR</w:t>
      </w:r>
    </w:p>
    <w:p>
      <w:pPr>
        <w:pStyle w:val="Heading1"/>
      </w:pPr>
      <w:r>
        <w:t>四、订单处理流程</w:t>
      </w:r>
    </w:p>
    <w:p>
      <w:pPr>
        <w:pStyle w:val="Heading2"/>
      </w:pPr>
      <w:r>
        <w:t>4.1 订单状态流转</w:t>
      </w:r>
    </w:p>
    <w:p>
      <w:r>
        <w:t>PENDING → PAID → PROCESSING → SHIPPED → DELIVERED</w:t>
      </w:r>
    </w:p>
    <w:p>
      <w:r>
        <w:t xml:space="preserve">  └────── CANCELLED (超时未支付)</w:t>
      </w:r>
    </w:p>
    <w:p>
      <w:pPr>
        <w:pStyle w:val="Heading2"/>
      </w:pPr>
      <w:r>
        <w:t>4.2 各角色职责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系统</w:t>
            </w:r>
          </w:p>
        </w:tc>
        <w:tc>
          <w:tcPr>
            <w:tcW w:type="dxa" w:w="4320"/>
          </w:tcPr>
          <w:p>
            <w:r>
              <w:t>自动确认PayPal/USDT支付，状态→PAID</w:t>
            </w:r>
          </w:p>
        </w:tc>
      </w:tr>
      <w:tr>
        <w:tc>
          <w:tcPr>
            <w:tcW w:type="dxa" w:w="4320"/>
          </w:tcPr>
          <w:p>
            <w:r>
              <w:t>Logistics</w:t>
            </w:r>
          </w:p>
        </w:tc>
        <w:tc>
          <w:tcPr>
            <w:tcW w:type="dxa" w:w="4320"/>
          </w:tcPr>
          <w:p>
            <w:r>
              <w:t>收到PAID订单后24小时内发货</w:t>
            </w:r>
          </w:p>
        </w:tc>
      </w:tr>
      <w:tr>
        <w:tc>
          <w:tcPr>
            <w:tcW w:type="dxa" w:w="4320"/>
          </w:tcPr>
          <w:p>
            <w:r>
              <w:t>Logistics</w:t>
            </w:r>
          </w:p>
        </w:tc>
        <w:tc>
          <w:tcPr>
            <w:tcW w:type="dxa" w:w="4320"/>
          </w:tcPr>
          <w:p>
            <w:r>
              <w:t>回填物流单号，状态→SHIPPED</w:t>
            </w:r>
          </w:p>
        </w:tc>
      </w:tr>
    </w:tbl>
    <w:p>
      <w:pPr>
        <w:pStyle w:val="Heading2"/>
      </w:pPr>
      <w:r>
        <w:t>4.3 物流信息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渠道</w:t>
            </w:r>
          </w:p>
        </w:tc>
        <w:tc>
          <w:tcPr>
            <w:tcW w:type="dxa" w:w="4320"/>
          </w:tcPr>
          <w:p>
            <w:r>
              <w:t>欧洲敏感专线-欧美-通</w:t>
            </w:r>
          </w:p>
        </w:tc>
      </w:tr>
      <w:tr>
        <w:tc>
          <w:tcPr>
            <w:tcW w:type="dxa" w:w="4320"/>
          </w:tcPr>
          <w:p>
            <w:r>
              <w:t>时效</w:t>
            </w:r>
          </w:p>
        </w:tc>
        <w:tc>
          <w:tcPr>
            <w:tcW w:type="dxa" w:w="4320"/>
          </w:tcPr>
          <w:p>
            <w:r>
              <w:t>9-15工作日</w:t>
            </w:r>
          </w:p>
        </w:tc>
      </w:tr>
      <w:tr>
        <w:tc>
          <w:tcPr>
            <w:tcW w:type="dxa" w:w="4320"/>
          </w:tcPr>
          <w:p>
            <w:r>
              <w:t>覆盖</w:t>
            </w:r>
          </w:p>
        </w:tc>
        <w:tc>
          <w:tcPr>
            <w:tcW w:type="dxa" w:w="4320"/>
          </w:tcPr>
          <w:p>
            <w:r>
              <w:t>德/法/意/西/葡/荷/比/奥/瑞/丹/挪/芬/波/捷/英</w:t>
            </w:r>
          </w:p>
        </w:tc>
      </w:tr>
      <w:tr>
        <w:tc>
          <w:tcPr>
            <w:tcW w:type="dxa" w:w="4320"/>
          </w:tcPr>
          <w:p>
            <w:r>
              <w:t>成本</w:t>
            </w:r>
          </w:p>
        </w:tc>
        <w:tc>
          <w:tcPr>
            <w:tcW w:type="dxa" w:w="4320"/>
          </w:tcPr>
          <w:p>
            <w:r>
              <w:t>€5-8/只(0.3-0.5kg)</w:t>
            </w:r>
          </w:p>
        </w:tc>
      </w:tr>
      <w:tr>
        <w:tc>
          <w:tcPr>
            <w:tcW w:type="dxa" w:w="4320"/>
          </w:tcPr>
          <w:p>
            <w:r>
              <w:t>追踪</w:t>
            </w:r>
          </w:p>
        </w:tc>
        <w:tc>
          <w:tcPr>
            <w:tcW w:type="dxa" w:w="4320"/>
          </w:tcPr>
          <w:p>
            <w:r>
              <w:t>提供追踪单号，可在17track查询</w:t>
            </w:r>
          </w:p>
        </w:tc>
      </w:tr>
    </w:tbl>
    <w:p>
      <w:pPr>
        <w:pStyle w:val="Heading1"/>
      </w:pPr>
      <w:r>
        <w:t>五、广告投放运营</w:t>
      </w:r>
    </w:p>
    <w:p>
      <w:pPr>
        <w:pStyle w:val="Heading2"/>
      </w:pPr>
      <w:r>
        <w:t>5.1 启动配置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配置</w:t>
            </w:r>
          </w:p>
        </w:tc>
      </w:tr>
      <w:tr>
        <w:tc>
          <w:tcPr>
            <w:tcW w:type="dxa" w:w="4320"/>
          </w:tcPr>
          <w:p>
            <w:r>
              <w:t>启动预算</w:t>
            </w:r>
          </w:p>
        </w:tc>
        <w:tc>
          <w:tcPr>
            <w:tcW w:type="dxa" w:w="4320"/>
          </w:tcPr>
          <w:p>
            <w:r>
              <w:t>€100</w:t>
            </w:r>
          </w:p>
        </w:tc>
      </w:tr>
      <w:tr>
        <w:tc>
          <w:tcPr>
            <w:tcW w:type="dxa" w:w="4320"/>
          </w:tcPr>
          <w:p>
            <w:r>
              <w:t>投放平台</w:t>
            </w:r>
          </w:p>
        </w:tc>
        <w:tc>
          <w:tcPr>
            <w:tcW w:type="dxa" w:w="4320"/>
          </w:tcPr>
          <w:p>
            <w:r>
              <w:t>Facebook/Instagram</w:t>
            </w:r>
          </w:p>
        </w:tc>
      </w:tr>
      <w:tr>
        <w:tc>
          <w:tcPr>
            <w:tcW w:type="dxa" w:w="4320"/>
          </w:tcPr>
          <w:p>
            <w:r>
              <w:t>目标国家</w:t>
            </w:r>
          </w:p>
        </w:tc>
        <w:tc>
          <w:tcPr>
            <w:tcW w:type="dxa" w:w="4320"/>
          </w:tcPr>
          <w:p>
            <w:r>
              <w:t>德国、法国、意大利（首期）</w:t>
            </w:r>
          </w:p>
        </w:tc>
      </w:tr>
      <w:tr>
        <w:tc>
          <w:tcPr>
            <w:tcW w:type="dxa" w:w="4320"/>
          </w:tcPr>
          <w:p>
            <w:r>
              <w:t>出价策略</w:t>
            </w:r>
          </w:p>
        </w:tc>
        <w:tc>
          <w:tcPr>
            <w:tcW w:type="dxa" w:w="4320"/>
          </w:tcPr>
          <w:p>
            <w:r>
              <w:t>最低成本(Cost Cap €15/转化)</w:t>
            </w:r>
          </w:p>
        </w:tc>
      </w:tr>
      <w:tr>
        <w:tc>
          <w:tcPr>
            <w:tcW w:type="dxa" w:w="4320"/>
          </w:tcPr>
          <w:p>
            <w:r>
              <w:t>归因窗口</w:t>
            </w:r>
          </w:p>
        </w:tc>
        <w:tc>
          <w:tcPr>
            <w:tcW w:type="dxa" w:w="4320"/>
          </w:tcPr>
          <w:p>
            <w:r>
              <w:t>7天点击+1天浏览</w:t>
            </w:r>
          </w:p>
        </w:tc>
      </w:tr>
    </w:tbl>
    <w:p>
      <w:pPr>
        <w:pStyle w:val="Heading2"/>
      </w:pPr>
      <w:r>
        <w:t>5.2 广告素材规范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尺寸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Feed</w:t>
            </w:r>
          </w:p>
        </w:tc>
        <w:tc>
          <w:tcPr>
            <w:tcW w:type="dxa" w:w="2880"/>
          </w:tcPr>
          <w:p>
            <w:r>
              <w:t>1080×1080</w:t>
            </w:r>
          </w:p>
        </w:tc>
        <w:tc>
          <w:tcPr>
            <w:tcW w:type="dxa" w:w="2880"/>
          </w:tcPr>
          <w:p>
            <w:r>
              <w:t>主力转化广告</w:t>
            </w:r>
          </w:p>
        </w:tc>
      </w:tr>
      <w:tr>
        <w:tc>
          <w:tcPr>
            <w:tcW w:type="dxa" w:w="2880"/>
          </w:tcPr>
          <w:p>
            <w:r>
              <w:t>Stories</w:t>
            </w:r>
          </w:p>
        </w:tc>
        <w:tc>
          <w:tcPr>
            <w:tcW w:type="dxa" w:w="2880"/>
          </w:tcPr>
          <w:p>
            <w:r>
              <w:t>1080×1920</w:t>
            </w:r>
          </w:p>
        </w:tc>
        <w:tc>
          <w:tcPr>
            <w:tcW w:type="dxa" w:w="2880"/>
          </w:tcPr>
          <w:p>
            <w:r>
              <w:t>品牌曝光</w:t>
            </w:r>
          </w:p>
        </w:tc>
      </w:tr>
      <w:tr>
        <w:tc>
          <w:tcPr>
            <w:tcW w:type="dxa" w:w="2880"/>
          </w:tcPr>
          <w:p>
            <w:r>
              <w:t>Link</w:t>
            </w:r>
          </w:p>
        </w:tc>
        <w:tc>
          <w:tcPr>
            <w:tcW w:type="dxa" w:w="2880"/>
          </w:tcPr>
          <w:p>
            <w:r>
              <w:t>1200×628</w:t>
            </w:r>
          </w:p>
        </w:tc>
        <w:tc>
          <w:tcPr>
            <w:tcW w:type="dxa" w:w="2880"/>
          </w:tcPr>
          <w:p>
            <w:r>
              <w:t>链接点击优化</w:t>
            </w:r>
          </w:p>
        </w:tc>
      </w:tr>
      <w:tr>
        <w:tc>
          <w:tcPr>
            <w:tcW w:type="dxa" w:w="2880"/>
          </w:tcPr>
          <w:p>
            <w:r>
              <w:t>Carousel</w:t>
            </w:r>
          </w:p>
        </w:tc>
        <w:tc>
          <w:tcPr>
            <w:tcW w:type="dxa" w:w="2880"/>
          </w:tcPr>
          <w:p>
            <w:r>
              <w:t>1080×1080</w:t>
            </w:r>
          </w:p>
        </w:tc>
        <w:tc>
          <w:tcPr>
            <w:tcW w:type="dxa" w:w="2880"/>
          </w:tcPr>
          <w:p>
            <w:r>
              <w:t>多产品展示</w:t>
            </w:r>
          </w:p>
        </w:tc>
      </w:tr>
    </w:tbl>
    <w:p>
      <w:pPr>
        <w:pStyle w:val="Heading2"/>
      </w:pPr>
      <w:r>
        <w:t>5.3 再投资策略</w:t>
      </w:r>
    </w:p>
    <w:p>
      <w:r>
        <w:t>月收入 × 40% = 下月广告预算</w:t>
      </w:r>
    </w:p>
    <w:p>
      <w:r>
        <w:t>例: 月入€1000 → 下月预算€400</w:t>
      </w:r>
    </w:p>
    <w:p>
      <w:pPr>
        <w:pStyle w:val="Heading2"/>
      </w:pPr>
      <w:r>
        <w:t>5.4 投放时间表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预算</w:t>
            </w:r>
          </w:p>
        </w:tc>
      </w:tr>
      <w:tr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3月17日</w:t>
            </w:r>
          </w:p>
        </w:tc>
        <w:tc>
          <w:tcPr>
            <w:tcW w:type="dxa" w:w="2160"/>
          </w:tcPr>
          <w:p>
            <w:r>
              <w:t>CBO测试3组素材</w:t>
            </w:r>
          </w:p>
        </w:tc>
        <w:tc>
          <w:tcPr>
            <w:tcW w:type="dxa" w:w="2160"/>
          </w:tcPr>
          <w:p>
            <w:r>
              <w:t>€30</w:t>
            </w:r>
          </w:p>
        </w:tc>
      </w:tr>
      <w:tr>
        <w:tc>
          <w:tcPr>
            <w:tcW w:type="dxa" w:w="2160"/>
          </w:tcPr>
          <w:p>
            <w:r>
              <w:t>Day 3</w:t>
            </w:r>
          </w:p>
        </w:tc>
        <w:tc>
          <w:tcPr>
            <w:tcW w:type="dxa" w:w="2160"/>
          </w:tcPr>
          <w:p>
            <w:r>
              <w:t>3月19日</w:t>
            </w:r>
          </w:p>
        </w:tc>
        <w:tc>
          <w:tcPr>
            <w:tcW w:type="dxa" w:w="2160"/>
          </w:tcPr>
          <w:p>
            <w:r>
              <w:t>关停CTR&lt;1%，保留胜者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Day 7</w:t>
            </w:r>
          </w:p>
        </w:tc>
        <w:tc>
          <w:tcPr>
            <w:tcW w:type="dxa" w:w="2160"/>
          </w:tcPr>
          <w:p>
            <w:r>
              <w:t>3月23日</w:t>
            </w:r>
          </w:p>
        </w:tc>
        <w:tc>
          <w:tcPr>
            <w:tcW w:type="dxa" w:w="2160"/>
          </w:tcPr>
          <w:p>
            <w:r>
              <w:t>规模化胜出素材</w:t>
            </w:r>
          </w:p>
        </w:tc>
        <w:tc>
          <w:tcPr>
            <w:tcW w:type="dxa" w:w="2160"/>
          </w:tcPr>
          <w:p>
            <w:r>
              <w:t>€70</w:t>
            </w:r>
          </w:p>
        </w:tc>
      </w:tr>
      <w:tr>
        <w:tc>
          <w:tcPr>
            <w:tcW w:type="dxa" w:w="2160"/>
          </w:tcPr>
          <w:p>
            <w:r>
              <w:t>Day 14</w:t>
            </w:r>
          </w:p>
        </w:tc>
        <w:tc>
          <w:tcPr>
            <w:tcW w:type="dxa" w:w="2160"/>
          </w:tcPr>
          <w:p>
            <w:r>
              <w:t>3月30日</w:t>
            </w:r>
          </w:p>
        </w:tc>
        <w:tc>
          <w:tcPr>
            <w:tcW w:type="dxa" w:w="2160"/>
          </w:tcPr>
          <w:p>
            <w:r>
              <w:t>分析ROI，调整受众</w:t>
            </w:r>
          </w:p>
        </w:tc>
        <w:tc>
          <w:tcPr>
            <w:tcW w:type="dxa" w:w="2160"/>
          </w:tcPr>
          <w:p>
            <w:r>
              <w:t>动态</w:t>
            </w:r>
          </w:p>
        </w:tc>
      </w:tr>
    </w:tbl>
    <w:p>
      <w:pPr>
        <w:pStyle w:val="Heading1"/>
      </w:pPr>
      <w:r>
        <w:t>六、AI客服配置</w:t>
      </w:r>
    </w:p>
    <w:p>
      <w:pPr>
        <w:pStyle w:val="Heading2"/>
      </w:pPr>
      <w:r>
        <w:t>6.1 知识库覆盖</w:t>
      </w:r>
    </w:p>
    <w:p>
      <w:pPr>
        <w:pStyle w:val="ListBullet"/>
      </w:pPr>
      <w:r>
        <w:t>14款产品详情（价格、规格、卖点）</w:t>
      </w:r>
    </w:p>
    <w:p>
      <w:pPr>
        <w:pStyle w:val="ListBullet"/>
      </w:pPr>
      <w:r>
        <w:t>物流时效与追踪</w:t>
      </w:r>
    </w:p>
    <w:p>
      <w:pPr>
        <w:pStyle w:val="ListBullet"/>
      </w:pPr>
      <w:r>
        <w:t>PayPal/USDT支付流程</w:t>
      </w:r>
    </w:p>
    <w:p>
      <w:pPr>
        <w:pStyle w:val="ListBullet"/>
      </w:pPr>
      <w:r>
        <w:t>7天无理由退换政策</w:t>
      </w:r>
    </w:p>
    <w:p>
      <w:pPr>
        <w:pStyle w:val="Heading2"/>
      </w:pPr>
      <w:r>
        <w:t>6.2 快捷回复按钮</w:t>
      </w:r>
    </w:p>
    <w:p>
      <w:r>
        <w:t>「产品价格」「配送时效」「支付方式」「转人工」</w:t>
      </w:r>
    </w:p>
    <w:p>
      <w:pPr>
        <w:pStyle w:val="Heading2"/>
      </w:pPr>
      <w:r>
        <w:t>6.3 转人工触发条件</w:t>
      </w:r>
    </w:p>
    <w:p>
      <w:pPr>
        <w:pStyle w:val="ListBullet"/>
      </w:pPr>
      <w:r>
        <w:t>客户连续3次未被匹配到答案</w:t>
      </w:r>
    </w:p>
    <w:p>
      <w:pPr>
        <w:pStyle w:val="ListBullet"/>
      </w:pPr>
      <w:r>
        <w:t>客户输入"人工"/"客服"/"human"</w:t>
      </w:r>
    </w:p>
    <w:p>
      <w:pPr>
        <w:pStyle w:val="ListBullet"/>
      </w:pPr>
      <w:r>
        <w:t>退款/投诉类关键词</w:t>
      </w:r>
    </w:p>
    <w:p>
      <w:pPr>
        <w:pStyle w:val="Heading1"/>
      </w:pPr>
      <w:r>
        <w:t>七、数据监控</w:t>
      </w:r>
    </w:p>
    <w:p>
      <w:pPr>
        <w:pStyle w:val="Heading2"/>
      </w:pPr>
      <w:r>
        <w:t>7.1 关键指标看板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监控频率</w:t>
            </w:r>
          </w:p>
        </w:tc>
      </w:tr>
      <w:tr>
        <w:tc>
          <w:tcPr>
            <w:tcW w:type="dxa" w:w="2880"/>
          </w:tcPr>
          <w:p>
            <w:r>
              <w:t>日访客(UV)</w:t>
            </w:r>
          </w:p>
        </w:tc>
        <w:tc>
          <w:tcPr>
            <w:tcW w:type="dxa" w:w="2880"/>
          </w:tcPr>
          <w:p>
            <w:r>
              <w:t>&gt;200</w:t>
            </w:r>
          </w:p>
        </w:tc>
        <w:tc>
          <w:tcPr>
            <w:tcW w:type="dxa" w:w="2880"/>
          </w:tcPr>
          <w:p>
            <w:r>
              <w:t>每日</w:t>
            </w:r>
          </w:p>
        </w:tc>
      </w:tr>
      <w:tr>
        <w:tc>
          <w:tcPr>
            <w:tcW w:type="dxa" w:w="2880"/>
          </w:tcPr>
          <w:p>
            <w:r>
              <w:t>转化率</w:t>
            </w:r>
          </w:p>
        </w:tc>
        <w:tc>
          <w:tcPr>
            <w:tcW w:type="dxa" w:w="2880"/>
          </w:tcPr>
          <w:p>
            <w:r>
              <w:t>&gt;2%</w:t>
            </w:r>
          </w:p>
        </w:tc>
        <w:tc>
          <w:tcPr>
            <w:tcW w:type="dxa" w:w="2880"/>
          </w:tcPr>
          <w:p>
            <w:r>
              <w:t>每日</w:t>
            </w:r>
          </w:p>
        </w:tc>
      </w:tr>
      <w:tr>
        <w:tc>
          <w:tcPr>
            <w:tcW w:type="dxa" w:w="2880"/>
          </w:tcPr>
          <w:p>
            <w:r>
              <w:t>客单价</w:t>
            </w:r>
          </w:p>
        </w:tc>
        <w:tc>
          <w:tcPr>
            <w:tcW w:type="dxa" w:w="2880"/>
          </w:tcPr>
          <w:p>
            <w:r>
              <w:t>€75+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</w:tr>
      <w:tr>
        <w:tc>
          <w:tcPr>
            <w:tcW w:type="dxa" w:w="2880"/>
          </w:tcPr>
          <w:p>
            <w:r>
              <w:t>ROAS</w:t>
            </w:r>
          </w:p>
        </w:tc>
        <w:tc>
          <w:tcPr>
            <w:tcW w:type="dxa" w:w="2880"/>
          </w:tcPr>
          <w:p>
            <w:r>
              <w:t>&gt;2.0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</w:tr>
      <w:tr>
        <w:tc>
          <w:tcPr>
            <w:tcW w:type="dxa" w:w="2880"/>
          </w:tcPr>
          <w:p>
            <w:r>
              <w:t>退货率</w:t>
            </w:r>
          </w:p>
        </w:tc>
        <w:tc>
          <w:tcPr>
            <w:tcW w:type="dxa" w:w="2880"/>
          </w:tcPr>
          <w:p>
            <w:r>
              <w:t>&lt;5%</w:t>
            </w:r>
          </w:p>
        </w:tc>
        <w:tc>
          <w:tcPr>
            <w:tcW w:type="dxa" w:w="2880"/>
          </w:tcPr>
          <w:p>
            <w:r>
              <w:t>每月</w:t>
            </w:r>
          </w:p>
        </w:tc>
      </w:tr>
    </w:tbl>
    <w:p>
      <w:pPr>
        <w:pStyle w:val="Heading2"/>
      </w:pPr>
      <w:r>
        <w:t>7.2 监控工具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Vercel Analytics</w:t>
            </w:r>
          </w:p>
        </w:tc>
        <w:tc>
          <w:tcPr>
            <w:tcW w:type="dxa" w:w="4320"/>
          </w:tcPr>
          <w:p>
            <w:r>
              <w:t>网站性能、Core Web Vitals</w:t>
            </w:r>
          </w:p>
        </w:tc>
      </w:tr>
      <w:tr>
        <w:tc>
          <w:tcPr>
            <w:tcW w:type="dxa" w:w="4320"/>
          </w:tcPr>
          <w:p>
            <w:r>
              <w:t>Facebook Pixel</w:t>
            </w:r>
          </w:p>
        </w:tc>
        <w:tc>
          <w:tcPr>
            <w:tcW w:type="dxa" w:w="4320"/>
          </w:tcPr>
          <w:p>
            <w:r>
              <w:t>广告转化追踪</w:t>
            </w:r>
          </w:p>
        </w:tc>
      </w:tr>
      <w:tr>
        <w:tc>
          <w:tcPr>
            <w:tcW w:type="dxa" w:w="4320"/>
          </w:tcPr>
          <w:p>
            <w:r>
              <w:t>Google Analytics 4</w:t>
            </w:r>
          </w:p>
        </w:tc>
        <w:tc>
          <w:tcPr>
            <w:tcW w:type="dxa" w:w="4320"/>
          </w:tcPr>
          <w:p>
            <w:r>
              <w:t>流量来源分析</w:t>
            </w:r>
          </w:p>
        </w:tc>
      </w:tr>
      <w:tr>
        <w:tc>
          <w:tcPr>
            <w:tcW w:type="dxa" w:w="4320"/>
          </w:tcPr>
          <w:p>
            <w:r>
              <w:t>后台Analytics页</w:t>
            </w:r>
          </w:p>
        </w:tc>
        <w:tc>
          <w:tcPr>
            <w:tcW w:type="dxa" w:w="4320"/>
          </w:tcPr>
          <w:p>
            <w:r>
              <w:t>订单/收入/转化数据</w:t>
            </w:r>
          </w:p>
        </w:tc>
      </w:tr>
    </w:tbl>
    <w:p>
      <w:pPr>
        <w:pStyle w:val="Heading1"/>
      </w:pPr>
      <w:r>
        <w:t>八、风险管理</w:t>
      </w:r>
    </w:p>
    <w:p>
      <w:pPr>
        <w:pStyle w:val="Heading2"/>
      </w:pPr>
      <w:r>
        <w:t>8.1 支付风险</w:t>
      </w:r>
    </w:p>
    <w:p>
      <w:pPr>
        <w:pStyle w:val="ListBullet"/>
      </w:pPr>
      <w:r>
        <w:t>PayPal新账户限额: €2500/月</w:t>
      </w:r>
    </w:p>
    <w:p>
      <w:pPr>
        <w:pStyle w:val="ListBullet"/>
      </w:pPr>
      <w:r>
        <w:t>达到80%限额时预警，准备备用账户</w:t>
      </w:r>
    </w:p>
    <w:p>
      <w:pPr>
        <w:pStyle w:val="ListBullet"/>
      </w:pPr>
      <w:r>
        <w:t>USDT收款作为备用通道</w:t>
      </w:r>
    </w:p>
    <w:p>
      <w:pPr>
        <w:pStyle w:val="Heading2"/>
      </w:pPr>
      <w:r>
        <w:t>8.2 广告账户风险</w:t>
      </w:r>
    </w:p>
    <w:p>
      <w:pPr>
        <w:pStyle w:val="ListBullet"/>
      </w:pPr>
      <w:r>
        <w:t>新账户首周日预算上限€50</w:t>
      </w:r>
    </w:p>
    <w:p>
      <w:pPr>
        <w:pStyle w:val="ListBullet"/>
      </w:pPr>
      <w:r>
        <w:t>避免短时间内大幅调整出价</w:t>
      </w:r>
    </w:p>
    <w:p>
      <w:pPr>
        <w:pStyle w:val="ListBullet"/>
      </w:pPr>
      <w:r>
        <w:t>准备多个BM和账户备用</w:t>
      </w:r>
    </w:p>
    <w:p>
      <w:pPr>
        <w:pStyle w:val="Heading2"/>
      </w:pPr>
      <w:r>
        <w:t>8.3 物流风险</w:t>
      </w:r>
    </w:p>
    <w:p>
      <w:pPr>
        <w:pStyle w:val="ListBullet"/>
      </w:pPr>
      <w:r>
        <w:t>敏感货渠道可能查验</w:t>
      </w:r>
    </w:p>
    <w:p>
      <w:pPr>
        <w:pStyle w:val="ListBullet"/>
      </w:pPr>
      <w:r>
        <w:t>客户投诉处理: 48小时内响应</w:t>
      </w:r>
    </w:p>
    <w:p>
      <w:pPr>
        <w:pStyle w:val="ListBullet"/>
      </w:pPr>
      <w:r>
        <w:t>丢件赔付: 全款退或重发</w:t>
      </w:r>
    </w:p>
    <w:p>
      <w:pPr>
        <w:pStyle w:val="Heading1"/>
      </w:pPr>
      <w:r>
        <w:t>九、待决策事项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Facebook广告充值方式</w:t>
            </w:r>
          </w:p>
        </w:tc>
        <w:tc>
          <w:tcPr>
            <w:tcW w:type="dxa" w:w="2160"/>
          </w:tcPr>
          <w:p>
            <w:r>
              <w:t>待决策</w:t>
            </w:r>
          </w:p>
        </w:tc>
        <w:tc>
          <w:tcPr>
            <w:tcW w:type="dxa" w:w="2160"/>
          </w:tcPr>
          <w:p>
            <w:r>
              <w:t>虚拟卡(Depay/OneKey) vs 代理商代投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数据库服务商选择</w:t>
            </w:r>
          </w:p>
        </w:tc>
        <w:tc>
          <w:tcPr>
            <w:tcW w:type="dxa" w:w="2160"/>
          </w:tcPr>
          <w:p>
            <w:r>
              <w:t>待决策</w:t>
            </w:r>
          </w:p>
        </w:tc>
        <w:tc>
          <w:tcPr>
            <w:tcW w:type="dxa" w:w="2160"/>
          </w:tcPr>
          <w:p>
            <w:r>
              <w:t>Vercel Postgres / Supabase / Neon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首批广告启动时间</w:t>
            </w:r>
          </w:p>
        </w:tc>
        <w:tc>
          <w:tcPr>
            <w:tcW w:type="dxa" w:w="2160"/>
          </w:tcPr>
          <w:p>
            <w:r>
              <w:t>待确认</w:t>
            </w:r>
          </w:p>
        </w:tc>
        <w:tc>
          <w:tcPr>
            <w:tcW w:type="dxa" w:w="2160"/>
          </w:tcPr>
          <w:p>
            <w:r>
              <w:t>建议3月17日(周一)</w:t>
            </w:r>
          </w:p>
        </w:tc>
      </w:tr>
    </w:tbl>
    <w:p>
      <w:pPr>
        <w:pStyle w:val="Heading1"/>
      </w:pPr>
      <w:r>
        <w:t>十、联系信息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联系方式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客服邮箱</w:t>
            </w:r>
          </w:p>
        </w:tc>
        <w:tc>
          <w:tcPr>
            <w:tcW w:type="dxa" w:w="2880"/>
          </w:tcPr>
          <w:p>
            <w:r>
              <w:t>support@horizonwatches.com</w:t>
            </w:r>
          </w:p>
        </w:tc>
        <w:tc>
          <w:tcPr>
            <w:tcW w:type="dxa" w:w="2880"/>
          </w:tcPr>
          <w:p>
            <w:r>
              <w:t>客户支持</w:t>
            </w:r>
          </w:p>
        </w:tc>
      </w:tr>
      <w:tr>
        <w:tc>
          <w:tcPr>
            <w:tcW w:type="dxa" w:w="2880"/>
          </w:tcPr>
          <w:p>
            <w:r>
              <w:t>投资人</w:t>
            </w:r>
          </w:p>
        </w:tc>
        <w:tc>
          <w:tcPr>
            <w:tcW w:type="dxa" w:w="2880"/>
          </w:tcPr>
          <w:p>
            <w:r>
              <w:t>STAR</w:t>
            </w:r>
          </w:p>
        </w:tc>
        <w:tc>
          <w:tcPr>
            <w:tcW w:type="dxa" w:w="2880"/>
          </w:tcPr>
          <w:p>
            <w:r>
              <w:t>资金/战略决策</w:t>
            </w:r>
          </w:p>
        </w:tc>
      </w:tr>
      <w:tr>
        <w:tc>
          <w:tcPr>
            <w:tcW w:type="dxa" w:w="2880"/>
          </w:tcPr>
          <w:p>
            <w:r>
              <w:t>CEO</w:t>
            </w:r>
          </w:p>
        </w:tc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日常运营/技术</w:t>
            </w:r>
          </w:p>
        </w:tc>
      </w:tr>
    </w:tbl>
    <w:p/>
    <w:p/>
    <w:p>
      <w:pPr>
        <w:pStyle w:val="Heading1"/>
      </w:pPr>
      <w:r>
        <w:t>文档版本记录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更新内容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2026-03-07</w:t>
            </w:r>
          </w:p>
        </w:tc>
        <w:tc>
          <w:tcPr>
            <w:tcW w:type="dxa" w:w="2880"/>
          </w:tcPr>
          <w:p>
            <w:r>
              <w:t>初始版本</w:t>
            </w:r>
          </w:p>
        </w:tc>
      </w:tr>
      <w:tr>
        <w:tc>
          <w:tcPr>
            <w:tcW w:type="dxa" w:w="2880"/>
          </w:tcPr>
          <w:p>
            <w:r>
              <w:t>v2.0</w:t>
            </w:r>
          </w:p>
        </w:tc>
        <w:tc>
          <w:tcPr>
            <w:tcW w:type="dxa" w:w="2880"/>
          </w:tcPr>
          <w:p>
            <w:r>
              <w:t>2026-03-15</w:t>
            </w:r>
          </w:p>
        </w:tc>
        <w:tc>
          <w:tcPr>
            <w:tcW w:type="dxa" w:w="2880"/>
          </w:tcPr>
          <w:p>
            <w:r>
              <w:t>增加数据库、后台权限、系统状态监控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