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0b1e3d"/>
          <w:sz w:val="56"/>
          <w:szCs w:val="56"/>
        </w:rPr>
        <w:t xml:space="preserve">PrasuFlow AI</w:t>
      </w:r>
    </w:p>
    <w:p>
      <w:pPr>
        <w:spacing w:after="400"/>
        <w:jc w:val="center"/>
      </w:pPr>
      <w:r>
        <w:rPr>
          <w:b/>
          <w:bCs/>
          <w:color w:val="2e9bef"/>
          <w:sz w:val="32"/>
          <w:szCs w:val="32"/>
        </w:rPr>
        <w:t xml:space="preserve">Demo Video Script</w:t>
      </w:r>
    </w:p>
    <w:p>
      <w:pPr>
        <w:spacing w:after="100"/>
        <w:jc w:val="center"/>
      </w:pPr>
      <w:r>
        <w:rPr>
          <w:i/>
          <w:iCs/>
          <w:color w:val="475569"/>
          <w:sz w:val="22"/>
          <w:szCs w:val="22"/>
        </w:rPr>
        <w:t xml:space="preserve">Full narration with timestamps — read alongside the Demo Recording Guide</w:t>
      </w:r>
    </w:p>
    <w:p>
      <w:pPr>
        <w:spacing w:before="600"/>
        <w:jc w:val="center"/>
      </w:pPr>
      <w:r>
        <w:rPr>
          <w:color w:val="475569"/>
          <w:sz w:val="18"/>
          <w:szCs w:val="18"/>
        </w:rPr>
        <w:t xml:space="preserve">Target run time: ~38–40 minutes (full deep-dive cut)</w:t>
      </w:r>
    </w:p>
    <w:p>
      <w:pPr>
        <w:pageBreakBefore/>
      </w:pPr>
    </w:p>
    <w:p>
      <w:pPr>
        <w:pStyle w:val="Heading1"/>
        <w:spacing w:after="200" w:before="400"/>
      </w:pPr>
      <w:r>
        <w:t xml:space="preserve">How to Use This Script</w:t>
      </w:r>
    </w:p>
    <w:p>
      <w:pPr>
        <w:spacing w:after="150"/>
      </w:pPr>
      <w:r>
        <w:rPr>
          <w:sz w:val="20"/>
          <w:szCs w:val="20"/>
        </w:rPr>
        <w:t xml:space="preserve">Each segment below has a timestamp (target position in the final video), an ON SCREEN line telling you what to click, and a SAY block with the narration to speak while that action is on screen. Timestamps are targets, not hard cuts — record each segment as its own clip and let your natural pace set the exact length, then use the timestamps as your chapter markers when you edit. Segments marked </w:t>
      </w:r>
      <w:r>
        <w:rPr>
          <w:b/>
          <w:bCs/>
          <w:i/>
          <w:iCs/>
          <w:color w:val="b91c1c"/>
          <w:sz w:val="20"/>
          <w:szCs w:val="20"/>
        </w:rPr>
        <w:t xml:space="preserve">[optional — trim for short cut]</w:t>
      </w:r>
      <w:r>
        <w:rPr>
          <w:sz w:val="20"/>
          <w:szCs w:val="20"/>
        </w:rPr>
        <w:t xml:space="preserve"> can be removed if you need a ~12-minute highlight reel instead of the full deep-dive.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00:00</w:t>
            </w:r>
          </w:p>
        </w:tc>
        <w:tc>
          <w:tcPr>
            <w:shd w:fill="EAF3FF" w:val="clear"/>
            <w:tcMar>
              <w:top w:type="dxa" w:w="100"/>
              <w:left w:type="dxa" w:w="150"/>
              <w:bottom w:type="dxa" w:w="100"/>
              <w:right w:type="dxa" w:w="150"/>
            </w:tcMar>
            <w:vAlign w:val="center"/>
          </w:tcPr>
          <w:p>
            <w:r>
              <w:rPr>
                <w:b/>
                <w:bCs/>
                <w:color w:val="0b1e3d"/>
                <w:sz w:val="22"/>
                <w:szCs w:val="22"/>
              </w:rPr>
              <w:t xml:space="preserve">Segment 0 — Cold Open &amp; Product Framing</w:t>
            </w:r>
          </w:p>
        </w:tc>
      </w:tr>
    </w:tbl>
    <w:p>
      <w:pPr>
        <w:spacing w:after="60" w:before="120"/>
      </w:pPr>
      <w:r>
        <w:rPr>
          <w:b/>
          <w:bCs/>
          <w:color w:val="0f766e"/>
          <w:sz w:val="18"/>
          <w:szCs w:val="18"/>
        </w:rPr>
        <w:t xml:space="preserve">ON SCREEN — </w:t>
      </w:r>
      <w:r>
        <w:rPr>
          <w:i/>
          <w:iCs/>
          <w:color w:val="475569"/>
          <w:sz w:val="18"/>
          <w:szCs w:val="18"/>
        </w:rPr>
        <w:t xml:space="preserve">Start on a blank browser tab or a title card, then cut to the Executive Overview screen fully loaded.</w:t>
      </w:r>
    </w:p>
    <w:p>
      <w:pPr>
        <w:spacing w:after="60"/>
        <w:ind w:left="200"/>
      </w:pPr>
      <w:r>
        <w:rPr>
          <w:b/>
          <w:bCs/>
          <w:color w:val="2e9bef"/>
          <w:sz w:val="20"/>
          <w:szCs w:val="20"/>
        </w:rPr>
        <w:t xml:space="preserve">SAY: </w:t>
      </w:r>
      <w:r>
        <w:rPr>
          <w:color w:val="1e293b"/>
          <w:sz w:val="20"/>
          <w:szCs w:val="20"/>
        </w:rPr>
        <w:t xml:space="preserve">Every delivery team has the same three problems: they can't see where friction is happening in real time, they don't trust AI to just go fix it, and when something does get changed, nobody can say who approved it. This is PrasuFlow AI — a delivery intelligence platform built around one non-negotiable rule: AI never makes a decision. Every signal it surfaces is a suggestion, and every suggestion is routed to a named human — a Project Manager, a Developer, a Client Sponsor, or a Governance Authority — for approval, rejection, or modification. In the next few minutes I'll walk through every screen, every role, and every card in this workspace.</w:t>
      </w:r>
    </w:p>
    <w:p>
      <w:pPr>
        <w:spacing w:after="200"/>
        <w:ind w:left="200"/>
      </w:pPr>
      <w:r>
        <w:rPr>
          <w:i/>
          <w:iCs/>
          <w:color w:val="94A3B8"/>
          <w:sz w:val="17"/>
          <w:szCs w:val="17"/>
        </w:rPr>
        <w:t xml:space="preserve">NOTE: Keep this segment under 60–90 seconds. It's your hook — don't demo anything yet, just state the promise.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01:45</w:t>
            </w:r>
          </w:p>
        </w:tc>
        <w:tc>
          <w:tcPr>
            <w:shd w:fill="EAF3FF" w:val="clear"/>
            <w:tcMar>
              <w:top w:type="dxa" w:w="100"/>
              <w:left w:type="dxa" w:w="150"/>
              <w:bottom w:type="dxa" w:w="100"/>
              <w:right w:type="dxa" w:w="150"/>
            </w:tcMar>
            <w:vAlign w:val="center"/>
          </w:tcPr>
          <w:p>
            <w:r>
              <w:rPr>
                <w:b/>
                <w:bCs/>
                <w:color w:val="0b1e3d"/>
                <w:sz w:val="22"/>
                <w:szCs w:val="22"/>
              </w:rPr>
              <w:t xml:space="preserve">Segment 1 — App Shell Tour</w:t>
            </w:r>
          </w:p>
        </w:tc>
      </w:tr>
    </w:tbl>
    <w:p>
      <w:pPr>
        <w:spacing w:after="60" w:before="120"/>
      </w:pPr>
      <w:r>
        <w:rPr>
          <w:b/>
          <w:bCs/>
          <w:color w:val="0f766e"/>
          <w:sz w:val="18"/>
          <w:szCs w:val="18"/>
        </w:rPr>
        <w:t xml:space="preserve">ON SCREEN — </w:t>
      </w:r>
      <w:r>
        <w:rPr>
          <w:i/>
          <w:iCs/>
          <w:color w:val="475569"/>
          <w:sz w:val="18"/>
          <w:szCs w:val="18"/>
        </w:rPr>
        <w:t xml:space="preserve">Slowly hover down the left sidebar, then move to the header, then point at the thin status strip under the header.</w:t>
      </w:r>
    </w:p>
    <w:p>
      <w:pPr>
        <w:spacing w:after="60"/>
        <w:ind w:left="200"/>
      </w:pPr>
      <w:r>
        <w:rPr>
          <w:b/>
          <w:bCs/>
          <w:color w:val="2e9bef"/>
          <w:sz w:val="20"/>
          <w:szCs w:val="20"/>
        </w:rPr>
        <w:t xml:space="preserve">SAY: </w:t>
      </w:r>
      <w:r>
        <w:rPr>
          <w:color w:val="1e293b"/>
          <w:sz w:val="20"/>
          <w:szCs w:val="20"/>
        </w:rPr>
        <w:t xml:space="preserve">On the left is the workspace navigation, grouped into four sections: Command center, Delivery workspace, Tools, and Control plane — that's the order I'll follow in this video. Notice the small red counter next to Friction Intelligence — that's the number of open signals waiting on a decision, and it updates live as we work.</w:t>
      </w:r>
    </w:p>
    <w:p>
      <w:pPr>
        <w:spacing w:after="60"/>
        <w:ind w:left="500"/>
      </w:pPr>
      <w:r>
        <w:rPr>
          <w:color w:val="1e293b"/>
          <w:sz w:val="20"/>
          <w:szCs w:val="20"/>
        </w:rPr>
        <w:t xml:space="preserve">Up top: the breadcrumb tells me which screen I'm on, this button opens the Root-Cause Assistant with Command-K, this circular arrow resets the whole demo workspace back to a clean state, this bell is notifications, and over here is the role selector — I can be logged in as PM, Developer, Client Sponsor, or Governance Authority, and whichever I pick is the name that gets recorded against every decision I make.</w:t>
      </w:r>
    </w:p>
    <w:p>
      <w:pPr>
        <w:spacing w:after="60"/>
        <w:ind w:left="200"/>
      </w:pPr>
      <w:r>
        <w:rPr>
          <w:b/>
          <w:bCs/>
          <w:color w:val="2e9bef"/>
          <w:sz w:val="20"/>
          <w:szCs w:val="20"/>
        </w:rPr>
        <w:t xml:space="preserve">SAY: </w:t>
      </w:r>
      <w:r>
        <w:rPr>
          <w:color w:val="1e293b"/>
          <w:sz w:val="20"/>
          <w:szCs w:val="20"/>
        </w:rPr>
        <w:t xml:space="preserve">And right under the header is this thin strip: "Intelligence engine active, 7 rules, this many evidence records, this many detected signals." That's not decoration — every number you'll see in this app traces back to a deterministic engine running seven detection rules against real requirement, defect, and change-request data. No black box.</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03:15</w:t>
            </w:r>
          </w:p>
        </w:tc>
        <w:tc>
          <w:tcPr>
            <w:shd w:fill="EAF3FF" w:val="clear"/>
            <w:tcMar>
              <w:top w:type="dxa" w:w="100"/>
              <w:left w:type="dxa" w:w="150"/>
              <w:bottom w:type="dxa" w:w="100"/>
              <w:right w:type="dxa" w:w="150"/>
            </w:tcMar>
            <w:vAlign w:val="center"/>
          </w:tcPr>
          <w:p>
            <w:r>
              <w:rPr>
                <w:b/>
                <w:bCs/>
                <w:color w:val="0b1e3d"/>
                <w:sz w:val="22"/>
                <w:szCs w:val="22"/>
              </w:rPr>
              <w:t xml:space="preserve">Segment 2 — Executive Overview</w:t>
            </w:r>
          </w:p>
        </w:tc>
      </w:tr>
    </w:tbl>
    <w:p>
      <w:pPr>
        <w:spacing w:after="60" w:before="120"/>
      </w:pPr>
      <w:r>
        <w:rPr>
          <w:b/>
          <w:bCs/>
          <w:color w:val="0f766e"/>
          <w:sz w:val="18"/>
          <w:szCs w:val="18"/>
        </w:rPr>
        <w:t xml:space="preserve">ON SCREEN — </w:t>
      </w:r>
      <w:r>
        <w:rPr>
          <w:i/>
          <w:iCs/>
          <w:color w:val="475569"/>
          <w:sz w:val="18"/>
          <w:szCs w:val="18"/>
        </w:rPr>
        <w:t xml:space="preserve">Scroll the Overview screen top to bottom: greeting header, delivery health / risk posture cards, active engagements, one open evidence card, governance activity feed.</w:t>
      </w:r>
    </w:p>
    <w:p>
      <w:pPr>
        <w:spacing w:after="60"/>
        <w:ind w:left="200"/>
      </w:pPr>
      <w:r>
        <w:rPr>
          <w:b/>
          <w:bCs/>
          <w:color w:val="2e9bef"/>
          <w:sz w:val="20"/>
          <w:szCs w:val="20"/>
        </w:rPr>
        <w:t xml:space="preserve">SAY: </w:t>
      </w:r>
      <w:r>
        <w:rPr>
          <w:color w:val="1e293b"/>
          <w:sz w:val="20"/>
          <w:szCs w:val="20"/>
        </w:rPr>
        <w:t xml:space="preserve">This is the Executive Overview — where a Project Manager or Governance Authority would start their morning. It greets me by name and tells me when the workspace last synced, so I know this is live, not a static report.</w:t>
      </w:r>
    </w:p>
    <w:p>
      <w:pPr>
        <w:spacing w:after="60"/>
        <w:ind w:left="500"/>
      </w:pPr>
      <w:r>
        <w:rPr>
          <w:color w:val="1e293b"/>
          <w:sz w:val="20"/>
          <w:szCs w:val="20"/>
        </w:rPr>
        <w:t xml:space="preserve">Delivery health and risk posture are scored right here, and if I'm not sure how a score was calculated, that's never hidden — I can expand "how calculated" and see the logic.</w:t>
      </w:r>
    </w:p>
    <w:p>
      <w:pPr>
        <w:spacing w:after="60"/>
        <w:ind w:left="500"/>
      </w:pPr>
      <w:r>
        <w:rPr>
          <w:color w:val="1e293b"/>
          <w:sz w:val="20"/>
          <w:szCs w:val="20"/>
        </w:rPr>
        <w:t xml:space="preserve">Below that are the active engagements we're monitoring — Northstar Retail, Meridian Health, and Atlas Finance — each at a different phase, from Discovery through UAT and go-live. Clicking any of these takes me straight into that engagement's detail.</w:t>
      </w:r>
    </w:p>
    <w:p>
      <w:pPr>
        <w:spacing w:after="60"/>
        <w:ind w:left="200"/>
      </w:pPr>
      <w:r>
        <w:rPr>
          <w:b/>
          <w:bCs/>
          <w:color w:val="2e9bef"/>
          <w:sz w:val="20"/>
          <w:szCs w:val="20"/>
        </w:rPr>
        <w:t xml:space="preserve">SAY: </w:t>
      </w:r>
      <w:r>
        <w:rPr>
          <w:color w:val="1e293b"/>
          <w:sz w:val="20"/>
          <w:szCs w:val="20"/>
        </w:rPr>
        <w:t xml:space="preserve">And here's something important — I can open an evidence card straight from the Overview screen. [click one] This is the same evidence modal you'll see throughout the app — confidence score, the actual evidence excerpt, its source, and a recommended action, with a human required to sign off before anything happens. [close modal] I'll come back to this modal in detail on the next screen.</w:t>
      </w:r>
    </w:p>
    <w:p>
      <w:pPr>
        <w:spacing w:after="60"/>
        <w:ind w:left="500"/>
      </w:pPr>
      <w:r>
        <w:rPr>
          <w:color w:val="1e293b"/>
          <w:sz w:val="20"/>
          <w:szCs w:val="20"/>
        </w:rPr>
        <w:t xml:space="preserve">At the bottom is the governance activity feed — every decision made anywhere in this workspace, by anyone, shows up here live.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05:15</w:t>
            </w:r>
          </w:p>
        </w:tc>
        <w:tc>
          <w:tcPr>
            <w:shd w:fill="EAF3FF" w:val="clear"/>
            <w:tcMar>
              <w:top w:type="dxa" w:w="100"/>
              <w:left w:type="dxa" w:w="150"/>
              <w:bottom w:type="dxa" w:w="100"/>
              <w:right w:type="dxa" w:w="150"/>
            </w:tcMar>
            <w:vAlign w:val="center"/>
          </w:tcPr>
          <w:p>
            <w:r>
              <w:rPr>
                <w:b/>
                <w:bCs/>
                <w:color w:val="0b1e3d"/>
                <w:sz w:val="22"/>
                <w:szCs w:val="22"/>
              </w:rPr>
              <w:t xml:space="preserve">Segment 3 — Friction Intelligence (core feature)</w:t>
            </w:r>
          </w:p>
        </w:tc>
      </w:tr>
    </w:tbl>
    <w:p>
      <w:pPr>
        <w:spacing w:after="60" w:before="120"/>
      </w:pPr>
      <w:r>
        <w:rPr>
          <w:b/>
          <w:bCs/>
          <w:color w:val="0f766e"/>
          <w:sz w:val="18"/>
          <w:szCs w:val="18"/>
        </w:rPr>
        <w:t xml:space="preserve">ON SCREEN — </w:t>
      </w:r>
      <w:r>
        <w:rPr>
          <w:i/>
          <w:iCs/>
          <w:color w:val="475569"/>
          <w:sz w:val="18"/>
          <w:szCs w:val="18"/>
        </w:rPr>
        <w:t xml:space="preserve">Navigate to Friction Intelligence. Show stats bar, click through filter chips, use risk filter and search, open the Evidence Modal, approve one signal, reject a second, modify a third.</w:t>
      </w:r>
    </w:p>
    <w:p>
      <w:pPr>
        <w:spacing w:after="60"/>
        <w:ind w:left="200"/>
      </w:pPr>
      <w:r>
        <w:rPr>
          <w:b/>
          <w:bCs/>
          <w:color w:val="2e9bef"/>
          <w:sz w:val="20"/>
          <w:szCs w:val="20"/>
        </w:rPr>
        <w:t xml:space="preserve">SAY: </w:t>
      </w:r>
      <w:r>
        <w:rPr>
          <w:color w:val="1e293b"/>
          <w:sz w:val="20"/>
          <w:szCs w:val="20"/>
        </w:rPr>
        <w:t xml:space="preserve">This is the heart of PrasuFlow — Friction Intelligence. Every signal here was detected by the engine we saw a moment ago, scanning event logs, requirements, change requests, UAT defects, and meeting notes. The numbers are computed by analytics; the plain-English explanation is drafted from the evidence that was actually retrieved.</w:t>
      </w:r>
    </w:p>
    <w:p>
      <w:pPr>
        <w:spacing w:after="60"/>
        <w:ind w:left="500"/>
      </w:pPr>
      <w:r>
        <w:rPr>
          <w:color w:val="1e293b"/>
          <w:sz w:val="20"/>
          <w:szCs w:val="20"/>
        </w:rPr>
        <w:t xml:space="preserve">Up top I can see how many signals are approved, rejected, pending, and the total in play. I can filter by signal type — scope drift, requirement quality, late change, rework, SLA breach — or by risk tier, Low through Critical, or just search by keyword or case ID.</w:t>
      </w:r>
    </w:p>
    <w:p>
      <w:pPr>
        <w:spacing w:after="60"/>
        <w:ind w:left="200"/>
      </w:pPr>
      <w:r>
        <w:rPr>
          <w:b/>
          <w:bCs/>
          <w:color w:val="2e9bef"/>
          <w:sz w:val="20"/>
          <w:szCs w:val="20"/>
        </w:rPr>
        <w:t xml:space="preserve">SAY: </w:t>
      </w:r>
      <w:r>
        <w:rPr>
          <w:color w:val="1e293b"/>
          <w:sz w:val="20"/>
          <w:szCs w:val="20"/>
        </w:rPr>
        <w:t xml:space="preserve">Let's open one. [click a signal card] This is the evidence card — every field is there: classification, a confidence percentage, materiality, and risk tier. Below that, the linked evidence — this isn't a summary, it's the actual excerpt from the source document, with a citation showing exactly where it came from. Then a recommended action drafted by the engine.</w:t>
      </w:r>
    </w:p>
    <w:p>
      <w:pPr>
        <w:spacing w:after="60"/>
        <w:ind w:left="200"/>
      </w:pPr>
      <w:r>
        <w:rPr>
          <w:b/>
          <w:bCs/>
          <w:color w:val="2e9bef"/>
          <w:sz w:val="20"/>
          <w:szCs w:val="20"/>
        </w:rPr>
        <w:t xml:space="preserve">SAY: </w:t>
      </w:r>
      <w:r>
        <w:rPr>
          <w:color w:val="1e293b"/>
          <w:sz w:val="20"/>
          <w:szCs w:val="20"/>
        </w:rPr>
        <w:t xml:space="preserve">And here's the rule this entire product is built on: "Human sign-off required — non-negotiable." The AI cannot act alone on scope or material delivery impact. As the Project Manager, I have three choices: Approve, Reject, or Modify. [click Approve] Done — that's now logged with my name and a timestamp.</w:t>
      </w:r>
    </w:p>
    <w:p>
      <w:pPr>
        <w:spacing w:after="60"/>
        <w:ind w:left="500"/>
      </w:pPr>
      <w:r>
        <w:rPr>
          <w:color w:val="1e293b"/>
          <w:sz w:val="20"/>
          <w:szCs w:val="20"/>
        </w:rPr>
        <w:t xml:space="preserve">Let's look at two more. [open second signal, click Reject] Not every AI-drafted signal is correct — maybe this one's a false positive, and rejecting it is just as valid a governance decision as approving it. [open third signal, click Modify] And Modify records that a human changed the AI's draft before acting on it — that distinction matters later on the Governance screen.</w:t>
      </w:r>
    </w:p>
    <w:p>
      <w:pPr>
        <w:spacing w:after="60"/>
        <w:ind w:left="200"/>
      </w:pPr>
      <w:r>
        <w:rPr>
          <w:b/>
          <w:bCs/>
          <w:color w:val="2e9bef"/>
          <w:sz w:val="20"/>
          <w:szCs w:val="20"/>
        </w:rPr>
        <w:t xml:space="preserve">SAY: </w:t>
      </w:r>
      <w:r>
        <w:rPr>
          <w:color w:val="1e293b"/>
          <w:sz w:val="20"/>
          <w:szCs w:val="20"/>
        </w:rPr>
        <w:t xml:space="preserve">Notice the stats bar at the top just changed — approved, rejected, and pending counts update in real time as decisions are made, from any screen in the app.</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09:15</w:t>
            </w:r>
          </w:p>
        </w:tc>
        <w:tc>
          <w:tcPr>
            <w:shd w:fill="EAF3FF" w:val="clear"/>
            <w:tcMar>
              <w:top w:type="dxa" w:w="100"/>
              <w:left w:type="dxa" w:w="150"/>
              <w:bottom w:type="dxa" w:w="100"/>
              <w:right w:type="dxa" w:w="150"/>
            </w:tcMar>
            <w:vAlign w:val="center"/>
          </w:tcPr>
          <w:p>
            <w:r>
              <w:rPr>
                <w:b/>
                <w:bCs/>
                <w:color w:val="0b1e3d"/>
                <w:sz w:val="22"/>
                <w:szCs w:val="22"/>
              </w:rPr>
              <w:t xml:space="preserve">Segment 4 — Opportunity Portfolio</w:t>
            </w:r>
          </w:p>
        </w:tc>
      </w:tr>
    </w:tbl>
    <w:p>
      <w:pPr>
        <w:spacing w:after="60" w:before="120"/>
      </w:pPr>
      <w:r>
        <w:rPr>
          <w:b/>
          <w:bCs/>
          <w:color w:val="0f766e"/>
          <w:sz w:val="18"/>
          <w:szCs w:val="18"/>
        </w:rPr>
        <w:t xml:space="preserve">ON SCREEN — </w:t>
      </w:r>
      <w:r>
        <w:rPr>
          <w:i/>
          <w:iCs/>
          <w:color w:val="475569"/>
          <w:sz w:val="18"/>
          <w:szCs w:val="18"/>
        </w:rPr>
        <w:t xml:space="preserve">Navigate to Opportunity Portfolio. Point at the impact-vs-feasibility chart, click an action to open its scoring breakdown, point at the required approver field, mark one action Adopted.</w:t>
      </w:r>
    </w:p>
    <w:p>
      <w:pPr>
        <w:spacing w:after="60"/>
        <w:ind w:left="200"/>
      </w:pPr>
      <w:r>
        <w:rPr>
          <w:b/>
          <w:bCs/>
          <w:color w:val="2e9bef"/>
          <w:sz w:val="20"/>
          <w:szCs w:val="20"/>
        </w:rPr>
        <w:t xml:space="preserve">SAY: </w:t>
      </w:r>
      <w:r>
        <w:rPr>
          <w:color w:val="1e293b"/>
          <w:sz w:val="20"/>
          <w:szCs w:val="20"/>
        </w:rPr>
        <w:t xml:space="preserve">Once we know where friction is happening, the question becomes: what should we actually do about it? That's the Opportunity Portfolio — every recommended intervention plotted by impact versus feasibility, with the best candidates sitting up in the high-impact, high-feasibility quadrant.</w:t>
      </w:r>
    </w:p>
    <w:p>
      <w:pPr>
        <w:spacing w:after="60"/>
        <w:ind w:left="200"/>
      </w:pPr>
      <w:r>
        <w:rPr>
          <w:b/>
          <w:bCs/>
          <w:color w:val="2e9bef"/>
          <w:sz w:val="20"/>
          <w:szCs w:val="20"/>
        </w:rPr>
        <w:t xml:space="preserve">SAY: </w:t>
      </w:r>
      <w:r>
        <w:rPr>
          <w:color w:val="1e293b"/>
          <w:sz w:val="20"/>
          <w:szCs w:val="20"/>
        </w:rPr>
        <w:t xml:space="preserve">Let's open one action's scoring. [click an action] This is a transparent model — six weighted dimensions: business impact, feasibility, AI and automation fit, data readiness, risk, and time-to-value. Every score is visible and explainable, not a single opaque AI confidence number.</w:t>
      </w:r>
    </w:p>
    <w:p>
      <w:pPr>
        <w:spacing w:after="60"/>
        <w:ind w:left="500"/>
      </w:pPr>
      <w:r>
        <w:rPr>
          <w:color w:val="1e293b"/>
          <w:sz w:val="20"/>
          <w:szCs w:val="20"/>
        </w:rPr>
        <w:t xml:space="preserve">Each action also has a required approver — even a well-scored recommendation still needs a named person to say yes before it becomes real work.</w:t>
      </w:r>
    </w:p>
    <w:p>
      <w:pPr>
        <w:spacing w:after="60"/>
        <w:ind w:left="200"/>
      </w:pPr>
      <w:r>
        <w:rPr>
          <w:b/>
          <w:bCs/>
          <w:color w:val="2e9bef"/>
          <w:sz w:val="20"/>
          <w:szCs w:val="20"/>
        </w:rPr>
        <w:t xml:space="preserve">SAY: </w:t>
      </w:r>
      <w:r>
        <w:rPr>
          <w:color w:val="1e293b"/>
          <w:sz w:val="20"/>
          <w:szCs w:val="20"/>
        </w:rPr>
        <w:t xml:space="preserve">If I decide this is worth doing, I mark it Adopted. [click Adopted] That decision now flows straight through to the Transformation Blueprint, which is our next stop.</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12:15</w:t>
            </w:r>
          </w:p>
        </w:tc>
        <w:tc>
          <w:tcPr>
            <w:shd w:fill="EAF3FF" w:val="clear"/>
            <w:tcMar>
              <w:top w:type="dxa" w:w="100"/>
              <w:left w:type="dxa" w:w="150"/>
              <w:bottom w:type="dxa" w:w="100"/>
              <w:right w:type="dxa" w:w="150"/>
            </w:tcMar>
            <w:vAlign w:val="center"/>
          </w:tcPr>
          <w:p>
            <w:r>
              <w:rPr>
                <w:b/>
                <w:bCs/>
                <w:color w:val="0b1e3d"/>
                <w:sz w:val="22"/>
                <w:szCs w:val="22"/>
              </w:rPr>
              <w:t xml:space="preserve">Segment 5 — Transformation Blueprint  [optional — trim for short cut]</w:t>
            </w:r>
          </w:p>
        </w:tc>
      </w:tr>
    </w:tbl>
    <w:p>
      <w:pPr>
        <w:spacing w:after="60" w:before="120"/>
      </w:pPr>
      <w:r>
        <w:rPr>
          <w:b/>
          <w:bCs/>
          <w:color w:val="0f766e"/>
          <w:sz w:val="18"/>
          <w:szCs w:val="18"/>
        </w:rPr>
        <w:t xml:space="preserve">ON SCREEN — </w:t>
      </w:r>
      <w:r>
        <w:rPr>
          <w:i/>
          <w:iCs/>
          <w:color w:val="475569"/>
          <w:sz w:val="18"/>
          <w:szCs w:val="18"/>
        </w:rPr>
        <w:t xml:space="preserve">Navigate to Transformation Blueprint. Show before/after flow, confirm the adopted action appears, toggle a second action, point at responsible-role labels.</w:t>
      </w:r>
    </w:p>
    <w:p>
      <w:pPr>
        <w:spacing w:after="60"/>
        <w:ind w:left="200"/>
      </w:pPr>
      <w:r>
        <w:rPr>
          <w:b/>
          <w:bCs/>
          <w:color w:val="2e9bef"/>
          <w:sz w:val="20"/>
          <w:szCs w:val="20"/>
        </w:rPr>
        <w:t xml:space="preserve">SAY: </w:t>
      </w:r>
      <w:r>
        <w:rPr>
          <w:color w:val="1e293b"/>
          <w:sz w:val="20"/>
          <w:szCs w:val="20"/>
        </w:rPr>
        <w:t xml:space="preserve">This is the Transformation Blueprint — a before-and-after view of the delivery process. On the left is the current state; on the right, the target state once we've adopted the interventions we just scored. Notice the action I adopted a moment ago is already reflected here — Portfolio and Blueprint are fully synced.</w:t>
      </w:r>
    </w:p>
    <w:p>
      <w:pPr>
        <w:spacing w:after="60"/>
        <w:ind w:left="500"/>
      </w:pPr>
      <w:r>
        <w:rPr>
          <w:color w:val="1e293b"/>
          <w:sz w:val="20"/>
          <w:szCs w:val="20"/>
        </w:rPr>
        <w:t xml:space="preserve">Each transformation step also shows which role is responsible for approving it, so a plan like this can't quietly execute itself either.</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13:45</w:t>
            </w:r>
          </w:p>
        </w:tc>
        <w:tc>
          <w:tcPr>
            <w:shd w:fill="EAF3FF" w:val="clear"/>
            <w:tcMar>
              <w:top w:type="dxa" w:w="100"/>
              <w:left w:type="dxa" w:w="150"/>
              <w:bottom w:type="dxa" w:w="100"/>
              <w:right w:type="dxa" w:w="150"/>
            </w:tcMar>
            <w:vAlign w:val="center"/>
          </w:tcPr>
          <w:p>
            <w:r>
              <w:rPr>
                <w:b/>
                <w:bCs/>
                <w:color w:val="0b1e3d"/>
                <w:sz w:val="22"/>
                <w:szCs w:val="22"/>
              </w:rPr>
              <w:t xml:space="preserve">Segment 6 — Value &amp; Client Trust</w:t>
            </w:r>
          </w:p>
        </w:tc>
      </w:tr>
    </w:tbl>
    <w:p>
      <w:pPr>
        <w:spacing w:after="60" w:before="120"/>
      </w:pPr>
      <w:r>
        <w:rPr>
          <w:b/>
          <w:bCs/>
          <w:color w:val="0f766e"/>
          <w:sz w:val="18"/>
          <w:szCs w:val="18"/>
        </w:rPr>
        <w:t xml:space="preserve">ON SCREEN — </w:t>
      </w:r>
      <w:r>
        <w:rPr>
          <w:i/>
          <w:iCs/>
          <w:color w:val="475569"/>
          <w:sz w:val="18"/>
          <w:szCs w:val="18"/>
        </w:rPr>
        <w:t xml:space="preserve">Navigate to Value &amp; Client Trust. Show KPI table, open a KPI detail modal, click Generate digest, show Export and Save to drafts.</w:t>
      </w:r>
    </w:p>
    <w:p>
      <w:pPr>
        <w:spacing w:after="60"/>
        <w:ind w:left="200"/>
      </w:pPr>
      <w:r>
        <w:rPr>
          <w:b/>
          <w:bCs/>
          <w:color w:val="2e9bef"/>
          <w:sz w:val="20"/>
          <w:szCs w:val="20"/>
        </w:rPr>
        <w:t xml:space="preserve">SAY: </w:t>
      </w:r>
      <w:r>
        <w:rPr>
          <w:color w:val="1e293b"/>
          <w:sz w:val="20"/>
          <w:szCs w:val="20"/>
        </w:rPr>
        <w:t xml:space="preserve">Detecting friction and fixing it only matters if we can prove it worked — that's what this screen is for. Here's a KPI table with baseline, target, observed, and status for every metric we're tracking.</w:t>
      </w:r>
    </w:p>
    <w:p>
      <w:pPr>
        <w:spacing w:after="60"/>
        <w:ind w:left="200"/>
      </w:pPr>
      <w:r>
        <w:rPr>
          <w:b/>
          <w:bCs/>
          <w:color w:val="2e9bef"/>
          <w:sz w:val="20"/>
          <w:szCs w:val="20"/>
        </w:rPr>
        <w:t xml:space="preserve">SAY: </w:t>
      </w:r>
      <w:r>
        <w:rPr>
          <w:color w:val="1e293b"/>
          <w:sz w:val="20"/>
          <w:szCs w:val="20"/>
        </w:rPr>
        <w:t xml:space="preserve">Let's open one. [click a KPI row] Every KPI card shows its formula, the evidence source behind the number, and which direction it's moving — again, nothing is just asserted, it's traceable.</w:t>
      </w:r>
    </w:p>
    <w:p>
      <w:pPr>
        <w:spacing w:after="60"/>
        <w:ind w:left="200"/>
      </w:pPr>
      <w:r>
        <w:rPr>
          <w:b/>
          <w:bCs/>
          <w:color w:val="2e9bef"/>
          <w:sz w:val="20"/>
          <w:szCs w:val="20"/>
        </w:rPr>
        <w:t xml:space="preserve">SAY: </w:t>
      </w:r>
      <w:r>
        <w:rPr>
          <w:color w:val="1e293b"/>
          <w:sz w:val="20"/>
          <w:szCs w:val="20"/>
        </w:rPr>
        <w:t xml:space="preserve">Now watch this — I can generate an AI client trust digest that rolls all of this up into a client-ready summary. [click Generate] This is exactly what a Client Sponsor would want to forward externally, and I can export it as a file or save it straight to my email drafts folder for later.</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16:15</w:t>
            </w:r>
          </w:p>
        </w:tc>
        <w:tc>
          <w:tcPr>
            <w:shd w:fill="EAF3FF" w:val="clear"/>
            <w:tcMar>
              <w:top w:type="dxa" w:w="100"/>
              <w:left w:type="dxa" w:w="150"/>
              <w:bottom w:type="dxa" w:w="100"/>
              <w:right w:type="dxa" w:w="150"/>
            </w:tcMar>
            <w:vAlign w:val="center"/>
          </w:tcPr>
          <w:p>
            <w:r>
              <w:rPr>
                <w:b/>
                <w:bCs/>
                <w:color w:val="0b1e3d"/>
                <w:sz w:val="22"/>
                <w:szCs w:val="22"/>
              </w:rPr>
              <w:t xml:space="preserve">Segment 7 — Governance &amp; Audit</w:t>
            </w:r>
          </w:p>
        </w:tc>
      </w:tr>
    </w:tbl>
    <w:p>
      <w:pPr>
        <w:spacing w:after="60" w:before="120"/>
      </w:pPr>
      <w:r>
        <w:rPr>
          <w:b/>
          <w:bCs/>
          <w:color w:val="0f766e"/>
          <w:sz w:val="18"/>
          <w:szCs w:val="18"/>
        </w:rPr>
        <w:t xml:space="preserve">ON SCREEN — </w:t>
      </w:r>
      <w:r>
        <w:rPr>
          <w:i/>
          <w:iCs/>
          <w:color w:val="475569"/>
          <w:sz w:val="18"/>
          <w:szCs w:val="18"/>
        </w:rPr>
        <w:t xml:space="preserve">Navigate to Governance &amp; Audit. Show the ledger table, search, filter by risk tier and decision type, point at 'human changed AI draft' labels, click Export CSV.</w:t>
      </w:r>
    </w:p>
    <w:p>
      <w:pPr>
        <w:spacing w:after="60"/>
        <w:ind w:left="200"/>
      </w:pPr>
      <w:r>
        <w:rPr>
          <w:b/>
          <w:bCs/>
          <w:color w:val="2e9bef"/>
          <w:sz w:val="20"/>
          <w:szCs w:val="20"/>
        </w:rPr>
        <w:t xml:space="preserve">SAY: </w:t>
      </w:r>
      <w:r>
        <w:rPr>
          <w:color w:val="1e293b"/>
          <w:sz w:val="20"/>
          <w:szCs w:val="20"/>
        </w:rPr>
        <w:t xml:space="preserve">Everything I've approved, rejected, or modified across this entire video lands here — the Governance and Audit ledger. This is the screen a Governance Authority lives in. Every row shows the engagement, the original AI suggestion, what triggered it, the human decision, who has to approve it, and exactly when it happened.</w:t>
      </w:r>
    </w:p>
    <w:p>
      <w:pPr>
        <w:spacing w:after="60"/>
        <w:ind w:left="500"/>
      </w:pPr>
      <w:r>
        <w:rPr>
          <w:color w:val="1e293b"/>
          <w:sz w:val="20"/>
          <w:szCs w:val="20"/>
        </w:rPr>
        <w:t xml:space="preserve">I can search by keyword, filter by risk tier, or filter by decision type. Notice the label "human changed AI draft" on the one I modified earlier — the ledger distinguishes between a straight approval and a human-edited outcome, which matters for compliance reporting.</w:t>
      </w:r>
    </w:p>
    <w:p>
      <w:pPr>
        <w:spacing w:after="60"/>
        <w:ind w:left="200"/>
      </w:pPr>
      <w:r>
        <w:rPr>
          <w:b/>
          <w:bCs/>
          <w:color w:val="2e9bef"/>
          <w:sz w:val="20"/>
          <w:szCs w:val="20"/>
        </w:rPr>
        <w:t xml:space="preserve">SAY: </w:t>
      </w:r>
      <w:r>
        <w:rPr>
          <w:color w:val="1e293b"/>
          <w:sz w:val="20"/>
          <w:szCs w:val="20"/>
        </w:rPr>
        <w:t xml:space="preserve">And if I need this outside the app — for an audit, a client report, whatever — I can export the filtered log as a CSV file. [click Export]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18:15</w:t>
            </w:r>
          </w:p>
        </w:tc>
        <w:tc>
          <w:tcPr>
            <w:shd w:fill="EAF3FF" w:val="clear"/>
            <w:tcMar>
              <w:top w:type="dxa" w:w="100"/>
              <w:left w:type="dxa" w:w="150"/>
              <w:bottom w:type="dxa" w:w="100"/>
              <w:right w:type="dxa" w:w="150"/>
            </w:tcMar>
            <w:vAlign w:val="center"/>
          </w:tcPr>
          <w:p>
            <w:r>
              <w:rPr>
                <w:b/>
                <w:bCs/>
                <w:color w:val="0b1e3d"/>
                <w:sz w:val="22"/>
                <w:szCs w:val="22"/>
              </w:rPr>
              <w:t xml:space="preserve">Segment 8 — Process Setup</w:t>
            </w:r>
          </w:p>
        </w:tc>
      </w:tr>
    </w:tbl>
    <w:p>
      <w:pPr>
        <w:spacing w:after="60" w:before="120"/>
      </w:pPr>
      <w:r>
        <w:rPr>
          <w:b/>
          <w:bCs/>
          <w:color w:val="0f766e"/>
          <w:sz w:val="18"/>
          <w:szCs w:val="18"/>
        </w:rPr>
        <w:t xml:space="preserve">ON SCREEN — </w:t>
      </w:r>
      <w:r>
        <w:rPr>
          <w:i/>
          <w:iCs/>
          <w:color w:val="475569"/>
          <w:sz w:val="18"/>
          <w:szCs w:val="18"/>
        </w:rPr>
        <w:t xml:space="preserve">Navigate to Process Setup. Step through the 4-step wizard. On Step 3, open the Requirement Quality Gate and click a blocked requirement.</w:t>
      </w:r>
    </w:p>
    <w:p>
      <w:pPr>
        <w:spacing w:after="60"/>
        <w:ind w:left="200"/>
      </w:pPr>
      <w:r>
        <w:rPr>
          <w:b/>
          <w:bCs/>
          <w:color w:val="2e9bef"/>
          <w:sz w:val="20"/>
          <w:szCs w:val="20"/>
        </w:rPr>
        <w:t xml:space="preserve">SAY: </w:t>
      </w:r>
      <w:r>
        <w:rPr>
          <w:color w:val="1e293b"/>
          <w:sz w:val="20"/>
          <w:szCs w:val="20"/>
        </w:rPr>
        <w:t xml:space="preserve">Stepping into the Delivery Workspace group now — this is where the underlying process gets configured. Process Setup is a four-step wizard: connect your data sources, configure the delivery process being monitored, validate signals, and activate the workspace.</w:t>
      </w:r>
    </w:p>
    <w:p>
      <w:pPr>
        <w:spacing w:after="60"/>
        <w:ind w:left="200"/>
      </w:pPr>
      <w:r>
        <w:rPr>
          <w:b/>
          <w:bCs/>
          <w:color w:val="2e9bef"/>
          <w:sz w:val="20"/>
          <w:szCs w:val="20"/>
        </w:rPr>
        <w:t xml:space="preserve">SAY: </w:t>
      </w:r>
      <w:r>
        <w:rPr>
          <w:color w:val="1e293b"/>
          <w:sz w:val="20"/>
          <w:szCs w:val="20"/>
        </w:rPr>
        <w:t xml:space="preserve">Step three is worth pausing on — the Requirement Quality Gate. This lists every requirement that's currently blocked from sprint commitment because it's missing acceptance criteria or has a low clarity score. [click a blocked requirement] Clicking one shows the detail and jumps straight to its related signals back on the Intelligence screen — so quality gating and friction detection are the same underlying data, viewed two ways.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20:15</w:t>
            </w:r>
          </w:p>
        </w:tc>
        <w:tc>
          <w:tcPr>
            <w:shd w:fill="EAF3FF" w:val="clear"/>
            <w:tcMar>
              <w:top w:type="dxa" w:w="100"/>
              <w:left w:type="dxa" w:w="150"/>
              <w:bottom w:type="dxa" w:w="100"/>
              <w:right w:type="dxa" w:w="150"/>
            </w:tcMar>
            <w:vAlign w:val="center"/>
          </w:tcPr>
          <w:p>
            <w:r>
              <w:rPr>
                <w:b/>
                <w:bCs/>
                <w:color w:val="0b1e3d"/>
                <w:sz w:val="22"/>
                <w:szCs w:val="22"/>
              </w:rPr>
              <w:t xml:space="preserve">Segment 9 — Current-State Map  [optional — trim for short cut]</w:t>
            </w:r>
          </w:p>
        </w:tc>
      </w:tr>
    </w:tbl>
    <w:p>
      <w:pPr>
        <w:spacing w:after="60" w:before="120"/>
      </w:pPr>
      <w:r>
        <w:rPr>
          <w:b/>
          <w:bCs/>
          <w:color w:val="0f766e"/>
          <w:sz w:val="18"/>
          <w:szCs w:val="18"/>
        </w:rPr>
        <w:t xml:space="preserve">ON SCREEN — </w:t>
      </w:r>
      <w:r>
        <w:rPr>
          <w:i/>
          <w:iCs/>
          <w:color w:val="475569"/>
          <w:sz w:val="18"/>
          <w:szCs w:val="18"/>
        </w:rPr>
        <w:t xml:space="preserve">Navigate to Current-state map. Click 2–3 process nodes.</w:t>
      </w:r>
    </w:p>
    <w:p>
      <w:pPr>
        <w:spacing w:after="60"/>
        <w:ind w:left="200"/>
      </w:pPr>
      <w:r>
        <w:rPr>
          <w:b/>
          <w:bCs/>
          <w:color w:val="2e9bef"/>
          <w:sz w:val="20"/>
          <w:szCs w:val="20"/>
        </w:rPr>
        <w:t xml:space="preserve">SAY: </w:t>
      </w:r>
      <w:r>
        <w:rPr>
          <w:color w:val="1e293b"/>
          <w:sz w:val="20"/>
          <w:szCs w:val="20"/>
        </w:rPr>
        <w:t xml:space="preserve">This is the current-state delivery map, reconstructed from event-log evidence — requirement sign-off, sprint execution, UAT, change review, go-live, and support handover. Node size reflects case volume, and edge color reflects wait time, so bottlenecks are visible at a glance.</w:t>
      </w:r>
    </w:p>
    <w:p>
      <w:pPr>
        <w:spacing w:after="60"/>
        <w:ind w:left="500"/>
      </w:pPr>
      <w:r>
        <w:rPr>
          <w:color w:val="1e293b"/>
          <w:sz w:val="20"/>
          <w:szCs w:val="20"/>
        </w:rPr>
        <w:t xml:space="preserve">[click a node] Clicking any stage shows its volume, average wait time, risk level, and a plain description — useful for a PM explaining the process to a new team member, or a Developer tracing where handoffs slow down.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21:45</w:t>
            </w:r>
          </w:p>
        </w:tc>
        <w:tc>
          <w:tcPr>
            <w:shd w:fill="EAF3FF" w:val="clear"/>
            <w:tcMar>
              <w:top w:type="dxa" w:w="100"/>
              <w:left w:type="dxa" w:w="150"/>
              <w:bottom w:type="dxa" w:w="100"/>
              <w:right w:type="dxa" w:w="150"/>
            </w:tcMar>
            <w:vAlign w:val="center"/>
          </w:tcPr>
          <w:p>
            <w:r>
              <w:rPr>
                <w:b/>
                <w:bCs/>
                <w:color w:val="0b1e3d"/>
                <w:sz w:val="22"/>
                <w:szCs w:val="22"/>
              </w:rPr>
              <w:t xml:space="preserve">Segment 10 — Meeting Intelligence</w:t>
            </w:r>
          </w:p>
        </w:tc>
      </w:tr>
    </w:tbl>
    <w:p>
      <w:pPr>
        <w:spacing w:after="60" w:before="120"/>
      </w:pPr>
      <w:r>
        <w:rPr>
          <w:b/>
          <w:bCs/>
          <w:color w:val="0f766e"/>
          <w:sz w:val="18"/>
          <w:szCs w:val="18"/>
        </w:rPr>
        <w:t xml:space="preserve">ON SCREEN — </w:t>
      </w:r>
      <w:r>
        <w:rPr>
          <w:i/>
          <w:iCs/>
          <w:color w:val="475569"/>
          <w:sz w:val="18"/>
          <w:szCs w:val="18"/>
        </w:rPr>
        <w:t xml:space="preserve">Navigate to Meeting Intelligence. Select a meeting note, click Generate, read the structured minutes, save as draft, show Send/Delete.</w:t>
      </w:r>
    </w:p>
    <w:p>
      <w:pPr>
        <w:spacing w:after="60"/>
        <w:ind w:left="200"/>
      </w:pPr>
      <w:r>
        <w:rPr>
          <w:b/>
          <w:bCs/>
          <w:color w:val="2e9bef"/>
          <w:sz w:val="20"/>
          <w:szCs w:val="20"/>
        </w:rPr>
        <w:t xml:space="preserve">SAY: </w:t>
      </w:r>
      <w:r>
        <w:rPr>
          <w:color w:val="1e293b"/>
          <w:sz w:val="20"/>
          <w:szCs w:val="20"/>
        </w:rPr>
        <w:t xml:space="preserve">Meeting Intelligence turns raw, fragmented meeting notes into standardized, governed minutes. [select a note] Here's a raw note on the left. [click Generate] And here's the structured output: purpose, key discussion points, decisions made, action items, risks and blockers, new requests, and next steps.</w:t>
      </w:r>
    </w:p>
    <w:p>
      <w:pPr>
        <w:spacing w:after="60"/>
        <w:ind w:left="200"/>
      </w:pPr>
      <w:r>
        <w:rPr>
          <w:b/>
          <w:bCs/>
          <w:color w:val="2e9bef"/>
          <w:sz w:val="20"/>
          <w:szCs w:val="20"/>
        </w:rPr>
        <w:t xml:space="preserve">SAY: </w:t>
      </w:r>
      <w:r>
        <w:rPr>
          <w:color w:val="1e293b"/>
          <w:sz w:val="20"/>
          <w:szCs w:val="20"/>
        </w:rPr>
        <w:t xml:space="preserve">If this is useful as-is, I can save it as an email draft. [click Save] And from the drafts list I can send it or delete it — everything here is persisted to the database, so it survives a page refresh, unlike a note in someone's personal inbox.</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24:15</w:t>
            </w:r>
          </w:p>
        </w:tc>
        <w:tc>
          <w:tcPr>
            <w:shd w:fill="EAF3FF" w:val="clear"/>
            <w:tcMar>
              <w:top w:type="dxa" w:w="100"/>
              <w:left w:type="dxa" w:w="150"/>
              <w:bottom w:type="dxa" w:w="100"/>
              <w:right w:type="dxa" w:w="150"/>
            </w:tcMar>
            <w:vAlign w:val="center"/>
          </w:tcPr>
          <w:p>
            <w:r>
              <w:rPr>
                <w:b/>
                <w:bCs/>
                <w:color w:val="0b1e3d"/>
                <w:sz w:val="22"/>
                <w:szCs w:val="22"/>
              </w:rPr>
              <w:t xml:space="preserve">Segment 11 — Legacy Knowledge Base  [optional — trim for short cut]</w:t>
            </w:r>
          </w:p>
        </w:tc>
      </w:tr>
    </w:tbl>
    <w:p>
      <w:pPr>
        <w:spacing w:after="60" w:before="120"/>
      </w:pPr>
      <w:r>
        <w:rPr>
          <w:b/>
          <w:bCs/>
          <w:color w:val="0f766e"/>
          <w:sz w:val="18"/>
          <w:szCs w:val="18"/>
        </w:rPr>
        <w:t xml:space="preserve">ON SCREEN — </w:t>
      </w:r>
      <w:r>
        <w:rPr>
          <w:i/>
          <w:iCs/>
          <w:color w:val="475569"/>
          <w:sz w:val="18"/>
          <w:szCs w:val="18"/>
        </w:rPr>
        <w:t xml:space="preserve">Navigate to Legacy Knowledge Base. Search/filter, open a system card, use Regenerate with new notes, show Export as markdown.</w:t>
      </w:r>
    </w:p>
    <w:p>
      <w:pPr>
        <w:spacing w:after="60"/>
        <w:ind w:left="200"/>
      </w:pPr>
      <w:r>
        <w:rPr>
          <w:b/>
          <w:bCs/>
          <w:color w:val="2e9bef"/>
          <w:sz w:val="20"/>
          <w:szCs w:val="20"/>
        </w:rPr>
        <w:t xml:space="preserve">SAY: </w:t>
      </w:r>
      <w:r>
        <w:rPr>
          <w:color w:val="1e293b"/>
          <w:sz w:val="20"/>
          <w:szCs w:val="20"/>
        </w:rPr>
        <w:t xml:space="preserve">This screen is built for developers — a searchable set of reference cards for legacy systems: authentication method, endpoints, environments, and known quirks. [open a card] This one, for example, flags that a network allowlist and client certificate are required just to connect — exactly the kind of tribal knowledge that normally lives in one person's head.</w:t>
      </w:r>
    </w:p>
    <w:p>
      <w:pPr>
        <w:spacing w:after="60"/>
        <w:ind w:left="500"/>
      </w:pPr>
      <w:r>
        <w:rPr>
          <w:color w:val="1e293b"/>
          <w:sz w:val="20"/>
          <w:szCs w:val="20"/>
        </w:rPr>
        <w:t xml:space="preserve">If I have new raw notes about a system, I can regenerate its documentation from them, and export the result as markdown for the team wiki.</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26:15</w:t>
            </w:r>
          </w:p>
        </w:tc>
        <w:tc>
          <w:tcPr>
            <w:shd w:fill="EAF3FF" w:val="clear"/>
            <w:tcMar>
              <w:top w:type="dxa" w:w="100"/>
              <w:left w:type="dxa" w:w="150"/>
              <w:bottom w:type="dxa" w:w="100"/>
              <w:right w:type="dxa" w:w="150"/>
            </w:tcMar>
            <w:vAlign w:val="center"/>
          </w:tcPr>
          <w:p>
            <w:r>
              <w:rPr>
                <w:b/>
                <w:bCs/>
                <w:color w:val="0b1e3d"/>
                <w:sz w:val="22"/>
                <w:szCs w:val="22"/>
              </w:rPr>
              <w:t xml:space="preserve">Segment 12 — Change Impact Simulator</w:t>
            </w:r>
          </w:p>
        </w:tc>
      </w:tr>
    </w:tbl>
    <w:p>
      <w:pPr>
        <w:spacing w:after="60" w:before="120"/>
      </w:pPr>
      <w:r>
        <w:rPr>
          <w:b/>
          <w:bCs/>
          <w:color w:val="0f766e"/>
          <w:sz w:val="18"/>
          <w:szCs w:val="18"/>
        </w:rPr>
        <w:t xml:space="preserve">ON SCREEN — </w:t>
      </w:r>
      <w:r>
        <w:rPr>
          <w:i/>
          <w:iCs/>
          <w:color w:val="475569"/>
          <w:sz w:val="18"/>
          <w:szCs w:val="18"/>
        </w:rPr>
        <w:t xml:space="preserve">Navigate to Change Impact Simulator. Select a requirement to change, show risk score and downstream impacts across sprints, read the recommendation.</w:t>
      </w:r>
    </w:p>
    <w:p>
      <w:pPr>
        <w:spacing w:after="60"/>
        <w:ind w:left="200"/>
      </w:pPr>
      <w:r>
        <w:rPr>
          <w:b/>
          <w:bCs/>
          <w:color w:val="2e9bef"/>
          <w:sz w:val="20"/>
          <w:szCs w:val="20"/>
        </w:rPr>
        <w:t xml:space="preserve">SAY: </w:t>
      </w:r>
      <w:r>
        <w:rPr>
          <w:color w:val="1e293b"/>
          <w:sz w:val="20"/>
          <w:szCs w:val="20"/>
        </w:rPr>
        <w:t xml:space="preserve">Before committing to a change, this simulator models what it will actually touch. [select a requirement] Pick the requirement you're proposing to change, and the simulator calculates a risk score and lists every downstream impact — stories, UAT items, and affected systems across upcoming sprints — split clearly into what context is present versus what's missing.</w:t>
      </w:r>
    </w:p>
    <w:p>
      <w:pPr>
        <w:spacing w:after="60"/>
        <w:ind w:left="500"/>
      </w:pPr>
      <w:r>
        <w:rPr>
          <w:color w:val="1e293b"/>
          <w:sz w:val="20"/>
          <w:szCs w:val="20"/>
        </w:rPr>
        <w:t xml:space="preserve">And it closes with a plain-language recommendation, so a Developer or PM can make the call with the full blast radius in view, not just the ticket in front of them.</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28:15</w:t>
            </w:r>
          </w:p>
        </w:tc>
        <w:tc>
          <w:tcPr>
            <w:shd w:fill="EAF3FF" w:val="clear"/>
            <w:tcMar>
              <w:top w:type="dxa" w:w="100"/>
              <w:left w:type="dxa" w:w="150"/>
              <w:bottom w:type="dxa" w:w="100"/>
              <w:right w:type="dxa" w:w="150"/>
            </w:tcMar>
            <w:vAlign w:val="center"/>
          </w:tcPr>
          <w:p>
            <w:r>
              <w:rPr>
                <w:b/>
                <w:bCs/>
                <w:color w:val="0b1e3d"/>
                <w:sz w:val="22"/>
                <w:szCs w:val="22"/>
              </w:rPr>
              <w:t xml:space="preserve">Segment 13 — Upgrade Readiness  [optional — trim for short cut]</w:t>
            </w:r>
          </w:p>
        </w:tc>
      </w:tr>
    </w:tbl>
    <w:p>
      <w:pPr>
        <w:spacing w:after="60" w:before="120"/>
      </w:pPr>
      <w:r>
        <w:rPr>
          <w:b/>
          <w:bCs/>
          <w:color w:val="0f766e"/>
          <w:sz w:val="18"/>
          <w:szCs w:val="18"/>
        </w:rPr>
        <w:t xml:space="preserve">ON SCREEN — </w:t>
      </w:r>
      <w:r>
        <w:rPr>
          <w:i/>
          <w:iCs/>
          <w:color w:val="475569"/>
          <w:sz w:val="18"/>
          <w:szCs w:val="18"/>
        </w:rPr>
        <w:t xml:space="preserve">Navigate to Upgrade Readiness. Type an upgrade description, show the generated checklist, check off items, show the score ring update.</w:t>
      </w:r>
    </w:p>
    <w:p>
      <w:pPr>
        <w:spacing w:after="60"/>
        <w:ind w:left="200"/>
      </w:pPr>
      <w:r>
        <w:rPr>
          <w:b/>
          <w:bCs/>
          <w:color w:val="2e9bef"/>
          <w:sz w:val="20"/>
          <w:szCs w:val="20"/>
        </w:rPr>
        <w:t xml:space="preserve">SAY: </w:t>
      </w:r>
      <w:r>
        <w:rPr>
          <w:color w:val="1e293b"/>
          <w:sz w:val="20"/>
          <w:szCs w:val="20"/>
        </w:rPr>
        <w:t xml:space="preserve">For any planned system upgrade, this screen generates a pre-upgrade checklist from a plain description. [type description, click Generate] It's organized into five sections — dependencies, rollback plan, security review, stakeholder sign-offs, and testing scope.</w:t>
      </w:r>
    </w:p>
    <w:p>
      <w:pPr>
        <w:spacing w:after="60"/>
        <w:ind w:left="500"/>
      </w:pPr>
      <w:r>
        <w:rPr>
          <w:color w:val="1e293b"/>
          <w:sz w:val="20"/>
          <w:szCs w:val="20"/>
        </w:rPr>
        <w:t xml:space="preserve">[check off a few items] As I check items off, the readiness score ring updates live — a simple, visual way to know if you're actually ready to ship the upgrade.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29:45</w:t>
            </w:r>
          </w:p>
        </w:tc>
        <w:tc>
          <w:tcPr>
            <w:shd w:fill="EAF3FF" w:val="clear"/>
            <w:tcMar>
              <w:top w:type="dxa" w:w="100"/>
              <w:left w:type="dxa" w:w="150"/>
              <w:bottom w:type="dxa" w:w="100"/>
              <w:right w:type="dxa" w:w="150"/>
            </w:tcMar>
            <w:vAlign w:val="center"/>
          </w:tcPr>
          <w:p>
            <w:r>
              <w:rPr>
                <w:b/>
                <w:bCs/>
                <w:color w:val="0b1e3d"/>
                <w:sz w:val="22"/>
                <w:szCs w:val="22"/>
              </w:rPr>
              <w:t xml:space="preserve">Segment 14 — Case Study Generator  [optional — trim for short cut]</w:t>
            </w:r>
          </w:p>
        </w:tc>
      </w:tr>
    </w:tbl>
    <w:p>
      <w:pPr>
        <w:spacing w:after="60" w:before="120"/>
      </w:pPr>
      <w:r>
        <w:rPr>
          <w:b/>
          <w:bCs/>
          <w:color w:val="0f766e"/>
          <w:sz w:val="18"/>
          <w:szCs w:val="18"/>
        </w:rPr>
        <w:t xml:space="preserve">ON SCREEN — </w:t>
      </w:r>
      <w:r>
        <w:rPr>
          <w:i/>
          <w:iCs/>
          <w:color w:val="475569"/>
          <w:sz w:val="18"/>
          <w:szCs w:val="18"/>
        </w:rPr>
        <w:t xml:space="preserve">Navigate to Case Study Generator. Select an engagement, click Generate, read the structure, show Export.</w:t>
      </w:r>
    </w:p>
    <w:p>
      <w:pPr>
        <w:spacing w:after="60"/>
        <w:ind w:left="200"/>
      </w:pPr>
      <w:r>
        <w:rPr>
          <w:b/>
          <w:bCs/>
          <w:color w:val="2e9bef"/>
          <w:sz w:val="20"/>
          <w:szCs w:val="20"/>
        </w:rPr>
        <w:t xml:space="preserve">SAY: </w:t>
      </w:r>
      <w:r>
        <w:rPr>
          <w:color w:val="1e293b"/>
          <w:sz w:val="20"/>
          <w:szCs w:val="20"/>
        </w:rPr>
        <w:t xml:space="preserve">Once an engagement wraps, this turns the outcome into a client-ready story. [select an engagement, click Generate] Executive summary, the challenge, the solution, the results, and a client quote — structured the way a case study actually needs to read, and exportable as text for marketing or sales to use.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31:15</w:t>
            </w:r>
          </w:p>
        </w:tc>
        <w:tc>
          <w:tcPr>
            <w:shd w:fill="EAF3FF" w:val="clear"/>
            <w:tcMar>
              <w:top w:type="dxa" w:w="100"/>
              <w:left w:type="dxa" w:w="150"/>
              <w:bottom w:type="dxa" w:w="100"/>
              <w:right w:type="dxa" w:w="150"/>
            </w:tcMar>
            <w:vAlign w:val="center"/>
          </w:tcPr>
          <w:p>
            <w:r>
              <w:rPr>
                <w:b/>
                <w:bCs/>
                <w:color w:val="0b1e3d"/>
                <w:sz w:val="22"/>
                <w:szCs w:val="22"/>
              </w:rPr>
              <w:t xml:space="preserve">Segment 15 — Risk Heatmap</w:t>
            </w:r>
          </w:p>
        </w:tc>
      </w:tr>
    </w:tbl>
    <w:p>
      <w:pPr>
        <w:spacing w:after="60" w:before="120"/>
      </w:pPr>
      <w:r>
        <w:rPr>
          <w:b/>
          <w:bCs/>
          <w:color w:val="0f766e"/>
          <w:sz w:val="18"/>
          <w:szCs w:val="18"/>
        </w:rPr>
        <w:t xml:space="preserve">ON SCREEN — </w:t>
      </w:r>
      <w:r>
        <w:rPr>
          <w:i/>
          <w:iCs/>
          <w:color w:val="475569"/>
          <w:sz w:val="18"/>
          <w:szCs w:val="18"/>
        </w:rPr>
        <w:t xml:space="preserve">Navigate to Risk Heatmap. Show the 5x5 matrix and summary cards, filter by engagement, click a cell, click a signal inside it to reopen the Evidence Modal.</w:t>
      </w:r>
    </w:p>
    <w:p>
      <w:pPr>
        <w:spacing w:after="60"/>
        <w:ind w:left="200"/>
      </w:pPr>
      <w:r>
        <w:rPr>
          <w:b/>
          <w:bCs/>
          <w:color w:val="2e9bef"/>
          <w:sz w:val="20"/>
          <w:szCs w:val="20"/>
        </w:rPr>
        <w:t xml:space="preserve">SAY: </w:t>
      </w:r>
      <w:r>
        <w:rPr>
          <w:color w:val="1e293b"/>
          <w:sz w:val="20"/>
          <w:szCs w:val="20"/>
        </w:rPr>
        <w:t xml:space="preserve">The Risk Heatmap plots every signal across the workspace on a five-by-five likelihood-versus-impact matrix. Up top: how many are critical, how many are elevated but manageable, and the total signals mapped.</w:t>
      </w:r>
    </w:p>
    <w:p>
      <w:pPr>
        <w:spacing w:after="60"/>
        <w:ind w:left="500"/>
      </w:pPr>
      <w:r>
        <w:rPr>
          <w:color w:val="1e293b"/>
          <w:sz w:val="20"/>
          <w:szCs w:val="20"/>
        </w:rPr>
        <w:t xml:space="preserve">I can filter to a single engagement, or clear that filter to see everything. [click a cell] Clicking any cell shows exactly which signals live in that risk band — and from here I can click straight into a signal's evidence card and make a governance decision without leaving the heatmap.</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33:15</w:t>
            </w:r>
          </w:p>
        </w:tc>
        <w:tc>
          <w:tcPr>
            <w:shd w:fill="EAF3FF" w:val="clear"/>
            <w:tcMar>
              <w:top w:type="dxa" w:w="100"/>
              <w:left w:type="dxa" w:w="150"/>
              <w:bottom w:type="dxa" w:w="100"/>
              <w:right w:type="dxa" w:w="150"/>
            </w:tcMar>
            <w:vAlign w:val="center"/>
          </w:tcPr>
          <w:p>
            <w:r>
              <w:rPr>
                <w:b/>
                <w:bCs/>
                <w:color w:val="0b1e3d"/>
                <w:sz w:val="22"/>
                <w:szCs w:val="22"/>
              </w:rPr>
              <w:t xml:space="preserve">Segment 16 — Team Performance</w:t>
            </w:r>
          </w:p>
        </w:tc>
      </w:tr>
    </w:tbl>
    <w:p>
      <w:pPr>
        <w:spacing w:after="60" w:before="120"/>
      </w:pPr>
      <w:r>
        <w:rPr>
          <w:b/>
          <w:bCs/>
          <w:color w:val="0f766e"/>
          <w:sz w:val="18"/>
          <w:szCs w:val="18"/>
        </w:rPr>
        <w:t xml:space="preserve">ON SCREEN — </w:t>
      </w:r>
      <w:r>
        <w:rPr>
          <w:i/>
          <w:iCs/>
          <w:color w:val="475569"/>
          <w:sz w:val="18"/>
          <w:szCs w:val="18"/>
        </w:rPr>
        <w:t xml:space="preserve">Navigate to Team Performance. Show summary cards and top performer, click a team member to drill into their view.</w:t>
      </w:r>
    </w:p>
    <w:p>
      <w:pPr>
        <w:spacing w:after="60"/>
        <w:ind w:left="200"/>
      </w:pPr>
      <w:r>
        <w:rPr>
          <w:b/>
          <w:bCs/>
          <w:color w:val="2e9bef"/>
          <w:sz w:val="20"/>
          <w:szCs w:val="20"/>
        </w:rPr>
        <w:t xml:space="preserve">SAY: </w:t>
      </w:r>
      <w:r>
        <w:rPr>
          <w:color w:val="1e293b"/>
          <w:sz w:val="20"/>
          <w:szCs w:val="20"/>
        </w:rPr>
        <w:t xml:space="preserve">Last stop in the Tools group — Team Performance. This gives a Governance Authority or PM a view of the whole team: team size, signals resolved, signals still open, and average on-time decision rate, plus a top-performer callout for the week.</w:t>
      </w:r>
    </w:p>
    <w:p>
      <w:pPr>
        <w:spacing w:after="60"/>
        <w:ind w:left="500"/>
      </w:pPr>
      <w:r>
        <w:rPr>
          <w:color w:val="1e293b"/>
          <w:sz w:val="20"/>
          <w:szCs w:val="20"/>
        </w:rPr>
        <w:t xml:space="preserve">[click a team member] Drilling into any individual shows their recent audit decisions and the open signals on their engagement — useful for a one-on-one or a performance check-in that's actually backed by data instead of impressions.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35:15</w:t>
            </w:r>
          </w:p>
        </w:tc>
        <w:tc>
          <w:tcPr>
            <w:shd w:fill="EAF3FF" w:val="clear"/>
            <w:tcMar>
              <w:top w:type="dxa" w:w="100"/>
              <w:left w:type="dxa" w:w="150"/>
              <w:bottom w:type="dxa" w:w="100"/>
              <w:right w:type="dxa" w:w="150"/>
            </w:tcMar>
            <w:vAlign w:val="center"/>
          </w:tcPr>
          <w:p>
            <w:r>
              <w:rPr>
                <w:b/>
                <w:bCs/>
                <w:color w:val="0b1e3d"/>
                <w:sz w:val="22"/>
                <w:szCs w:val="22"/>
              </w:rPr>
              <w:t xml:space="preserve">Segment 17 — Global Features: Assistant, Notifications, Reset</w:t>
            </w:r>
          </w:p>
        </w:tc>
      </w:tr>
    </w:tbl>
    <w:p>
      <w:pPr>
        <w:spacing w:after="60" w:before="120"/>
      </w:pPr>
      <w:r>
        <w:rPr>
          <w:b/>
          <w:bCs/>
          <w:color w:val="0f766e"/>
          <w:sz w:val="18"/>
          <w:szCs w:val="18"/>
        </w:rPr>
        <w:t xml:space="preserve">ON SCREEN — </w:t>
      </w:r>
      <w:r>
        <w:rPr>
          <w:i/>
          <w:iCs/>
          <w:color w:val="475569"/>
          <w:sz w:val="18"/>
          <w:szCs w:val="18"/>
        </w:rPr>
        <w:t xml:space="preserve">Press Command-K to open the Root-Cause Assistant, ask a question, show the cited answer. Click the bell for Notifications, click Mark all read, click a notification. Click reset, confirm, show the toast.</w:t>
      </w:r>
    </w:p>
    <w:p>
      <w:pPr>
        <w:spacing w:after="60"/>
        <w:ind w:left="200"/>
      </w:pPr>
      <w:r>
        <w:rPr>
          <w:b/>
          <w:bCs/>
          <w:color w:val="2e9bef"/>
          <w:sz w:val="20"/>
          <w:szCs w:val="20"/>
        </w:rPr>
        <w:t xml:space="preserve">SAY: </w:t>
      </w:r>
      <w:r>
        <w:rPr>
          <w:color w:val="1e293b"/>
          <w:sz w:val="20"/>
          <w:szCs w:val="20"/>
        </w:rPr>
        <w:t xml:space="preserve">Two more things live in the header everywhere in this app. First, the Root-Cause Assistant — Command-K, or the floating button bottom-right. [open it, type a question] I can ask a natural-language question about delivery evidence, and it answers by pulling directly from the same workspace data we've been looking at — signals, requirements, defects, change requests — and it always cites its source. This isn't a generic chatbot bolted on; it's grounded in this workspace.</w:t>
      </w:r>
    </w:p>
    <w:p>
      <w:pPr>
        <w:spacing w:after="60"/>
        <w:ind w:left="200"/>
      </w:pPr>
      <w:r>
        <w:rPr>
          <w:b/>
          <w:bCs/>
          <w:color w:val="2e9bef"/>
          <w:sz w:val="20"/>
          <w:szCs w:val="20"/>
        </w:rPr>
        <w:t xml:space="preserve">SAY: </w:t>
      </w:r>
      <w:r>
        <w:rPr>
          <w:color w:val="1e293b"/>
          <w:sz w:val="20"/>
          <w:szCs w:val="20"/>
        </w:rPr>
        <w:t xml:space="preserve">[open Notifications] The bell shows anything that needs my attention — I can mark everything read, or click straight through to the relevant screen.</w:t>
      </w:r>
    </w:p>
    <w:p>
      <w:pPr>
        <w:spacing w:after="60"/>
        <w:ind w:left="200"/>
      </w:pPr>
      <w:r>
        <w:rPr>
          <w:b/>
          <w:bCs/>
          <w:color w:val="2e9bef"/>
          <w:sz w:val="20"/>
          <w:szCs w:val="20"/>
        </w:rPr>
        <w:t xml:space="preserve">SAY: </w:t>
      </w:r>
      <w:r>
        <w:rPr>
          <w:color w:val="1e293b"/>
          <w:sz w:val="20"/>
          <w:szCs w:val="20"/>
        </w:rPr>
        <w:t xml:space="preserve">And finally — the reset icon. [click it, confirm] This restores every signal to its original unapproved state, clears the audit log, deletes saved drafts, and clears blueprint adoptions, and wipes that from the database too, so the next demo — or the next person testing this — starts from the exact same clean slate.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37:15</w:t>
            </w:r>
          </w:p>
        </w:tc>
        <w:tc>
          <w:tcPr>
            <w:shd w:fill="EAF3FF" w:val="clear"/>
            <w:tcMar>
              <w:top w:type="dxa" w:w="100"/>
              <w:left w:type="dxa" w:w="150"/>
              <w:bottom w:type="dxa" w:w="100"/>
              <w:right w:type="dxa" w:w="150"/>
            </w:tcMar>
            <w:vAlign w:val="center"/>
          </w:tcPr>
          <w:p>
            <w:r>
              <w:rPr>
                <w:b/>
                <w:bCs/>
                <w:color w:val="0b1e3d"/>
                <w:sz w:val="22"/>
                <w:szCs w:val="22"/>
              </w:rPr>
              <w:t xml:space="preserve">Segment 18 — Role-Based Recap</w:t>
            </w:r>
          </w:p>
        </w:tc>
      </w:tr>
    </w:tbl>
    <w:p>
      <w:pPr>
        <w:spacing w:after="60" w:before="120"/>
      </w:pPr>
      <w:r>
        <w:rPr>
          <w:b/>
          <w:bCs/>
          <w:color w:val="0f766e"/>
          <w:sz w:val="18"/>
          <w:szCs w:val="18"/>
        </w:rPr>
        <w:t xml:space="preserve">ON SCREEN — </w:t>
      </w:r>
      <w:r>
        <w:rPr>
          <w:i/>
          <w:iCs/>
          <w:color w:val="475569"/>
          <w:sz w:val="18"/>
          <w:szCs w:val="18"/>
        </w:rPr>
        <w:t xml:space="preserve">Open the role selector in the header. Switch PM → Developer → Client Sponsor → Governance Authority. Under at least two roles, approve a signal or open the Governance screen and point at the initials badge attached to the decision.</w:t>
      </w:r>
    </w:p>
    <w:p>
      <w:pPr>
        <w:spacing w:after="60"/>
        <w:ind w:left="200"/>
      </w:pPr>
      <w:r>
        <w:rPr>
          <w:b/>
          <w:bCs/>
          <w:color w:val="2e9bef"/>
          <w:sz w:val="20"/>
          <w:szCs w:val="20"/>
        </w:rPr>
        <w:t xml:space="preserve">SAY: </w:t>
      </w:r>
      <w:r>
        <w:rPr>
          <w:color w:val="1e293b"/>
          <w:sz w:val="20"/>
          <w:szCs w:val="20"/>
        </w:rPr>
        <w:t xml:space="preserve">One last thing to make sure lands — this whole app is one shared workspace across four roles, switched right here. [switch to Developer] As a Developer, I'd spend most of my time on the Impact Simulator, Legacy Knowledge Base, and technical signals. [switch to Client Sponsor] As a Client Sponsor, I care about Value &amp; Client Trust and the Case Study Generator — proof, not process. [switch to Governance Authority] And as Governance Authority, the Audit ledger and Risk Heatmap are home base.</w:t>
      </w:r>
    </w:p>
    <w:p>
      <w:pPr>
        <w:spacing w:after="60"/>
        <w:ind w:left="200"/>
      </w:pPr>
      <w:r>
        <w:rPr>
          <w:b/>
          <w:bCs/>
          <w:color w:val="2e9bef"/>
          <w:sz w:val="20"/>
          <w:szCs w:val="20"/>
        </w:rPr>
        <w:t xml:space="preserve">SAY: </w:t>
      </w:r>
      <w:r>
        <w:rPr>
          <w:color w:val="1e293b"/>
          <w:sz w:val="20"/>
          <w:szCs w:val="20"/>
        </w:rPr>
        <w:t xml:space="preserve">Whichever role I pick becomes the name recorded against every decision I make — [approve a signal, then open Governance] — you can see it right here in the ledger. That's the whole point: one workspace, four perspectives, and a permanent record of exactly who decided what.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shd w:fill="0b1e3d" w:val="clear"/>
            <w:tcMar>
              <w:top w:type="dxa" w:w="100"/>
              <w:left w:type="dxa" w:w="150"/>
              <w:bottom w:type="dxa" w:w="100"/>
              <w:right w:type="dxa" w:w="100"/>
            </w:tcMar>
            <w:vAlign w:val="center"/>
          </w:tcPr>
          <w:p>
            <w:r>
              <w:rPr>
                <w:b/>
                <w:bCs/>
                <w:color w:val="FFFFFF"/>
                <w:sz w:val="20"/>
                <w:szCs w:val="20"/>
              </w:rPr>
              <w:t xml:space="preserve">39:00</w:t>
            </w:r>
          </w:p>
        </w:tc>
        <w:tc>
          <w:tcPr>
            <w:shd w:fill="EAF3FF" w:val="clear"/>
            <w:tcMar>
              <w:top w:type="dxa" w:w="100"/>
              <w:left w:type="dxa" w:w="150"/>
              <w:bottom w:type="dxa" w:w="100"/>
              <w:right w:type="dxa" w:w="150"/>
            </w:tcMar>
            <w:vAlign w:val="center"/>
          </w:tcPr>
          <w:p>
            <w:r>
              <w:rPr>
                <w:b/>
                <w:bCs/>
                <w:color w:val="0b1e3d"/>
                <w:sz w:val="22"/>
                <w:szCs w:val="22"/>
              </w:rPr>
              <w:t xml:space="preserve">Segment 19 — Closing</w:t>
            </w:r>
          </w:p>
        </w:tc>
      </w:tr>
    </w:tbl>
    <w:p>
      <w:pPr>
        <w:spacing w:after="60" w:before="120"/>
      </w:pPr>
      <w:r>
        <w:rPr>
          <w:b/>
          <w:bCs/>
          <w:color w:val="0f766e"/>
          <w:sz w:val="18"/>
          <w:szCs w:val="18"/>
        </w:rPr>
        <w:t xml:space="preserve">ON SCREEN — </w:t>
      </w:r>
      <w:r>
        <w:rPr>
          <w:i/>
          <w:iCs/>
          <w:color w:val="475569"/>
          <w:sz w:val="18"/>
          <w:szCs w:val="18"/>
        </w:rPr>
        <w:t xml:space="preserve">Return to the Executive Overview screen. Optional: show a title card with the live URL.</w:t>
      </w:r>
    </w:p>
    <w:p>
      <w:pPr>
        <w:spacing w:after="60"/>
        <w:ind w:left="200"/>
      </w:pPr>
      <w:r>
        <w:rPr>
          <w:b/>
          <w:bCs/>
          <w:color w:val="2e9bef"/>
          <w:sz w:val="20"/>
          <w:szCs w:val="20"/>
        </w:rPr>
        <w:t xml:space="preserve">SAY: </w:t>
      </w:r>
      <w:r>
        <w:rPr>
          <w:color w:val="1e293b"/>
          <w:sz w:val="20"/>
          <w:szCs w:val="20"/>
        </w:rPr>
        <w:t xml:space="preserve">That's PrasuFlow AI — every screen, every card, and every role. Friction gets surfaced with evidence, not guesses. Every action is scored transparently. And nothing happens without a named human signing off. If you'd like to try it yourself, the live prototype link is in the description.</w:t>
      </w:r>
    </w:p>
    <w:p>
      <w:pPr>
        <w:spacing w:after="200"/>
      </w:pPr>
    </w:p>
    <w:p>
      <w:pPr>
        <w:pageBreakBefore/>
      </w:pPr>
    </w:p>
    <w:p>
      <w:pPr>
        <w:pStyle w:val="Heading1"/>
        <w:spacing w:after="200" w:before="400"/>
      </w:pPr>
      <w:r>
        <w:t xml:space="preserve">Timestamp Index (for video description / chapters)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0b1e3d" w:val="clear"/>
            <w:tcMar>
              <w:top w:type="dxa" w:w="100"/>
              <w:left w:type="dxa" w:w="120"/>
              <w:bottom w:type="dxa" w:w="100"/>
              <w:right w:type="dxa" w:w="120"/>
            </w:tcMar>
          </w:tcPr>
          <w:p>
            <w:r>
              <w:rPr>
                <w:b/>
                <w:bCs/>
                <w:color w:val="FFFFFF"/>
                <w:sz w:val="18"/>
                <w:szCs w:val="18"/>
              </w:rPr>
              <w:t xml:space="preserve">Time</w:t>
            </w:r>
          </w:p>
        </w:tc>
        <w:tc>
          <w:tcPr>
            <w:tcW w:type="dxa" w:w="7550"/>
            <w:shd w:fill="0b1e3d" w:val="clear"/>
            <w:tcMar>
              <w:top w:type="dxa" w:w="100"/>
              <w:left w:type="dxa" w:w="120"/>
              <w:bottom w:type="dxa" w:w="100"/>
              <w:right w:type="dxa" w:w="120"/>
            </w:tcMar>
          </w:tcPr>
          <w:p>
            <w:r>
              <w:rPr>
                <w:b/>
                <w:bCs/>
                <w:color w:val="FFFFFF"/>
                <w:sz w:val="18"/>
                <w:szCs w:val="18"/>
              </w:rPr>
              <w:t xml:space="preserve">Chapter</w:t>
            </w:r>
          </w:p>
        </w:tc>
      </w:tr>
      <w:tr>
        <w:tc>
          <w:tcPr>
            <w:tcW w:type="dxa" w:w="1800"/>
            <w:shd w:fill="FFFFFF" w:val="clear"/>
            <w:tcMar>
              <w:top w:type="dxa" w:w="100"/>
              <w:left w:type="dxa" w:w="120"/>
              <w:bottom w:type="dxa" w:w="100"/>
              <w:right w:type="dxa" w:w="120"/>
            </w:tcMar>
          </w:tcPr>
          <w:p>
            <w:r>
              <w:rPr>
                <w:b w:val="false"/>
                <w:bCs w:val="false"/>
                <w:color w:val="1e293b"/>
                <w:sz w:val="18"/>
                <w:szCs w:val="18"/>
              </w:rPr>
              <w:t xml:space="preserve">00:00</w:t>
            </w:r>
          </w:p>
        </w:tc>
        <w:tc>
          <w:tcPr>
            <w:tcW w:type="dxa" w:w="7550"/>
            <w:shd w:fill="FFFFFF" w:val="clear"/>
            <w:tcMar>
              <w:top w:type="dxa" w:w="100"/>
              <w:left w:type="dxa" w:w="120"/>
              <w:bottom w:type="dxa" w:w="100"/>
              <w:right w:type="dxa" w:w="120"/>
            </w:tcMar>
          </w:tcPr>
          <w:p>
            <w:r>
              <w:rPr>
                <w:b w:val="false"/>
                <w:bCs w:val="false"/>
                <w:color w:val="1e293b"/>
                <w:sz w:val="18"/>
                <w:szCs w:val="18"/>
              </w:rPr>
              <w:t xml:space="preserve">Cold open &amp; product framing</w:t>
            </w:r>
          </w:p>
        </w:tc>
      </w:tr>
      <w:tr>
        <w:tc>
          <w:tcPr>
            <w:tcW w:type="dxa" w:w="1800"/>
            <w:shd w:fill="F7F9FC" w:val="clear"/>
            <w:tcMar>
              <w:top w:type="dxa" w:w="100"/>
              <w:left w:type="dxa" w:w="120"/>
              <w:bottom w:type="dxa" w:w="100"/>
              <w:right w:type="dxa" w:w="120"/>
            </w:tcMar>
          </w:tcPr>
          <w:p>
            <w:r>
              <w:rPr>
                <w:b w:val="false"/>
                <w:bCs w:val="false"/>
                <w:color w:val="1e293b"/>
                <w:sz w:val="18"/>
                <w:szCs w:val="18"/>
              </w:rPr>
              <w:t xml:space="preserve">01:45</w:t>
            </w:r>
          </w:p>
        </w:tc>
        <w:tc>
          <w:tcPr>
            <w:tcW w:type="dxa" w:w="7550"/>
            <w:shd w:fill="F7F9FC" w:val="clear"/>
            <w:tcMar>
              <w:top w:type="dxa" w:w="100"/>
              <w:left w:type="dxa" w:w="120"/>
              <w:bottom w:type="dxa" w:w="100"/>
              <w:right w:type="dxa" w:w="120"/>
            </w:tcMar>
          </w:tcPr>
          <w:p>
            <w:r>
              <w:rPr>
                <w:b w:val="false"/>
                <w:bCs w:val="false"/>
                <w:color w:val="1e293b"/>
                <w:sz w:val="18"/>
                <w:szCs w:val="18"/>
              </w:rPr>
              <w:t xml:space="preserve">App shell tour</w:t>
            </w:r>
          </w:p>
        </w:tc>
      </w:tr>
      <w:tr>
        <w:tc>
          <w:tcPr>
            <w:tcW w:type="dxa" w:w="1800"/>
            <w:shd w:fill="FFFFFF" w:val="clear"/>
            <w:tcMar>
              <w:top w:type="dxa" w:w="100"/>
              <w:left w:type="dxa" w:w="120"/>
              <w:bottom w:type="dxa" w:w="100"/>
              <w:right w:type="dxa" w:w="120"/>
            </w:tcMar>
          </w:tcPr>
          <w:p>
            <w:r>
              <w:rPr>
                <w:b w:val="false"/>
                <w:bCs w:val="false"/>
                <w:color w:val="1e293b"/>
                <w:sz w:val="18"/>
                <w:szCs w:val="18"/>
              </w:rPr>
              <w:t xml:space="preserve">03:15</w:t>
            </w:r>
          </w:p>
        </w:tc>
        <w:tc>
          <w:tcPr>
            <w:tcW w:type="dxa" w:w="7550"/>
            <w:shd w:fill="FFFFFF" w:val="clear"/>
            <w:tcMar>
              <w:top w:type="dxa" w:w="100"/>
              <w:left w:type="dxa" w:w="120"/>
              <w:bottom w:type="dxa" w:w="100"/>
              <w:right w:type="dxa" w:w="120"/>
            </w:tcMar>
          </w:tcPr>
          <w:p>
            <w:r>
              <w:rPr>
                <w:b w:val="false"/>
                <w:bCs w:val="false"/>
                <w:color w:val="1e293b"/>
                <w:sz w:val="18"/>
                <w:szCs w:val="18"/>
              </w:rPr>
              <w:t xml:space="preserve">Executive Overview</w:t>
            </w:r>
          </w:p>
        </w:tc>
      </w:tr>
      <w:tr>
        <w:tc>
          <w:tcPr>
            <w:tcW w:type="dxa" w:w="1800"/>
            <w:shd w:fill="F7F9FC" w:val="clear"/>
            <w:tcMar>
              <w:top w:type="dxa" w:w="100"/>
              <w:left w:type="dxa" w:w="120"/>
              <w:bottom w:type="dxa" w:w="100"/>
              <w:right w:type="dxa" w:w="120"/>
            </w:tcMar>
          </w:tcPr>
          <w:p>
            <w:r>
              <w:rPr>
                <w:b w:val="false"/>
                <w:bCs w:val="false"/>
                <w:color w:val="1e293b"/>
                <w:sz w:val="18"/>
                <w:szCs w:val="18"/>
              </w:rPr>
              <w:t xml:space="preserve">05:15</w:t>
            </w:r>
          </w:p>
        </w:tc>
        <w:tc>
          <w:tcPr>
            <w:tcW w:type="dxa" w:w="7550"/>
            <w:shd w:fill="F7F9FC" w:val="clear"/>
            <w:tcMar>
              <w:top w:type="dxa" w:w="100"/>
              <w:left w:type="dxa" w:w="120"/>
              <w:bottom w:type="dxa" w:w="100"/>
              <w:right w:type="dxa" w:w="120"/>
            </w:tcMar>
          </w:tcPr>
          <w:p>
            <w:r>
              <w:rPr>
                <w:b w:val="false"/>
                <w:bCs w:val="false"/>
                <w:color w:val="1e293b"/>
                <w:sz w:val="18"/>
                <w:szCs w:val="18"/>
              </w:rPr>
              <w:t xml:space="preserve">Friction Intelligence</w:t>
            </w:r>
          </w:p>
        </w:tc>
      </w:tr>
      <w:tr>
        <w:tc>
          <w:tcPr>
            <w:tcW w:type="dxa" w:w="1800"/>
            <w:shd w:fill="FFFFFF" w:val="clear"/>
            <w:tcMar>
              <w:top w:type="dxa" w:w="100"/>
              <w:left w:type="dxa" w:w="120"/>
              <w:bottom w:type="dxa" w:w="100"/>
              <w:right w:type="dxa" w:w="120"/>
            </w:tcMar>
          </w:tcPr>
          <w:p>
            <w:r>
              <w:rPr>
                <w:b w:val="false"/>
                <w:bCs w:val="false"/>
                <w:color w:val="1e293b"/>
                <w:sz w:val="18"/>
                <w:szCs w:val="18"/>
              </w:rPr>
              <w:t xml:space="preserve">09:15</w:t>
            </w:r>
          </w:p>
        </w:tc>
        <w:tc>
          <w:tcPr>
            <w:tcW w:type="dxa" w:w="7550"/>
            <w:shd w:fill="FFFFFF" w:val="clear"/>
            <w:tcMar>
              <w:top w:type="dxa" w:w="100"/>
              <w:left w:type="dxa" w:w="120"/>
              <w:bottom w:type="dxa" w:w="100"/>
              <w:right w:type="dxa" w:w="120"/>
            </w:tcMar>
          </w:tcPr>
          <w:p>
            <w:r>
              <w:rPr>
                <w:b w:val="false"/>
                <w:bCs w:val="false"/>
                <w:color w:val="1e293b"/>
                <w:sz w:val="18"/>
                <w:szCs w:val="18"/>
              </w:rPr>
              <w:t xml:space="preserve">Opportunity Portfolio</w:t>
            </w:r>
          </w:p>
        </w:tc>
      </w:tr>
      <w:tr>
        <w:tc>
          <w:tcPr>
            <w:tcW w:type="dxa" w:w="1800"/>
            <w:shd w:fill="F7F9FC" w:val="clear"/>
            <w:tcMar>
              <w:top w:type="dxa" w:w="100"/>
              <w:left w:type="dxa" w:w="120"/>
              <w:bottom w:type="dxa" w:w="100"/>
              <w:right w:type="dxa" w:w="120"/>
            </w:tcMar>
          </w:tcPr>
          <w:p>
            <w:r>
              <w:rPr>
                <w:b w:val="false"/>
                <w:bCs w:val="false"/>
                <w:color w:val="1e293b"/>
                <w:sz w:val="18"/>
                <w:szCs w:val="18"/>
              </w:rPr>
              <w:t xml:space="preserve">12:15</w:t>
            </w:r>
          </w:p>
        </w:tc>
        <w:tc>
          <w:tcPr>
            <w:tcW w:type="dxa" w:w="7550"/>
            <w:shd w:fill="F7F9FC" w:val="clear"/>
            <w:tcMar>
              <w:top w:type="dxa" w:w="100"/>
              <w:left w:type="dxa" w:w="120"/>
              <w:bottom w:type="dxa" w:w="100"/>
              <w:right w:type="dxa" w:w="120"/>
            </w:tcMar>
          </w:tcPr>
          <w:p>
            <w:r>
              <w:rPr>
                <w:b w:val="false"/>
                <w:bCs w:val="false"/>
                <w:color w:val="1e293b"/>
                <w:sz w:val="18"/>
                <w:szCs w:val="18"/>
              </w:rPr>
              <w:t xml:space="preserve">Transformation Blueprint</w:t>
            </w:r>
          </w:p>
        </w:tc>
      </w:tr>
      <w:tr>
        <w:tc>
          <w:tcPr>
            <w:tcW w:type="dxa" w:w="1800"/>
            <w:shd w:fill="FFFFFF" w:val="clear"/>
            <w:tcMar>
              <w:top w:type="dxa" w:w="100"/>
              <w:left w:type="dxa" w:w="120"/>
              <w:bottom w:type="dxa" w:w="100"/>
              <w:right w:type="dxa" w:w="120"/>
            </w:tcMar>
          </w:tcPr>
          <w:p>
            <w:r>
              <w:rPr>
                <w:b w:val="false"/>
                <w:bCs w:val="false"/>
                <w:color w:val="1e293b"/>
                <w:sz w:val="18"/>
                <w:szCs w:val="18"/>
              </w:rPr>
              <w:t xml:space="preserve">13:45</w:t>
            </w:r>
          </w:p>
        </w:tc>
        <w:tc>
          <w:tcPr>
            <w:tcW w:type="dxa" w:w="7550"/>
            <w:shd w:fill="FFFFFF" w:val="clear"/>
            <w:tcMar>
              <w:top w:type="dxa" w:w="100"/>
              <w:left w:type="dxa" w:w="120"/>
              <w:bottom w:type="dxa" w:w="100"/>
              <w:right w:type="dxa" w:w="120"/>
            </w:tcMar>
          </w:tcPr>
          <w:p>
            <w:r>
              <w:rPr>
                <w:b w:val="false"/>
                <w:bCs w:val="false"/>
                <w:color w:val="1e293b"/>
                <w:sz w:val="18"/>
                <w:szCs w:val="18"/>
              </w:rPr>
              <w:t xml:space="preserve">Value &amp; Client Trust</w:t>
            </w:r>
          </w:p>
        </w:tc>
      </w:tr>
      <w:tr>
        <w:tc>
          <w:tcPr>
            <w:tcW w:type="dxa" w:w="1800"/>
            <w:shd w:fill="F7F9FC" w:val="clear"/>
            <w:tcMar>
              <w:top w:type="dxa" w:w="100"/>
              <w:left w:type="dxa" w:w="120"/>
              <w:bottom w:type="dxa" w:w="100"/>
              <w:right w:type="dxa" w:w="120"/>
            </w:tcMar>
          </w:tcPr>
          <w:p>
            <w:r>
              <w:rPr>
                <w:b w:val="false"/>
                <w:bCs w:val="false"/>
                <w:color w:val="1e293b"/>
                <w:sz w:val="18"/>
                <w:szCs w:val="18"/>
              </w:rPr>
              <w:t xml:space="preserve">16:15</w:t>
            </w:r>
          </w:p>
        </w:tc>
        <w:tc>
          <w:tcPr>
            <w:tcW w:type="dxa" w:w="7550"/>
            <w:shd w:fill="F7F9FC" w:val="clear"/>
            <w:tcMar>
              <w:top w:type="dxa" w:w="100"/>
              <w:left w:type="dxa" w:w="120"/>
              <w:bottom w:type="dxa" w:w="100"/>
              <w:right w:type="dxa" w:w="120"/>
            </w:tcMar>
          </w:tcPr>
          <w:p>
            <w:r>
              <w:rPr>
                <w:b w:val="false"/>
                <w:bCs w:val="false"/>
                <w:color w:val="1e293b"/>
                <w:sz w:val="18"/>
                <w:szCs w:val="18"/>
              </w:rPr>
              <w:t xml:space="preserve">Governance &amp; Audit</w:t>
            </w:r>
          </w:p>
        </w:tc>
      </w:tr>
      <w:tr>
        <w:tc>
          <w:tcPr>
            <w:tcW w:type="dxa" w:w="1800"/>
            <w:shd w:fill="FFFFFF" w:val="clear"/>
            <w:tcMar>
              <w:top w:type="dxa" w:w="100"/>
              <w:left w:type="dxa" w:w="120"/>
              <w:bottom w:type="dxa" w:w="100"/>
              <w:right w:type="dxa" w:w="120"/>
            </w:tcMar>
          </w:tcPr>
          <w:p>
            <w:r>
              <w:rPr>
                <w:b w:val="false"/>
                <w:bCs w:val="false"/>
                <w:color w:val="1e293b"/>
                <w:sz w:val="18"/>
                <w:szCs w:val="18"/>
              </w:rPr>
              <w:t xml:space="preserve">18:15</w:t>
            </w:r>
          </w:p>
        </w:tc>
        <w:tc>
          <w:tcPr>
            <w:tcW w:type="dxa" w:w="7550"/>
            <w:shd w:fill="FFFFFF" w:val="clear"/>
            <w:tcMar>
              <w:top w:type="dxa" w:w="100"/>
              <w:left w:type="dxa" w:w="120"/>
              <w:bottom w:type="dxa" w:w="100"/>
              <w:right w:type="dxa" w:w="120"/>
            </w:tcMar>
          </w:tcPr>
          <w:p>
            <w:r>
              <w:rPr>
                <w:b w:val="false"/>
                <w:bCs w:val="false"/>
                <w:color w:val="1e293b"/>
                <w:sz w:val="18"/>
                <w:szCs w:val="18"/>
              </w:rPr>
              <w:t xml:space="preserve">Process Setup</w:t>
            </w:r>
          </w:p>
        </w:tc>
      </w:tr>
      <w:tr>
        <w:tc>
          <w:tcPr>
            <w:tcW w:type="dxa" w:w="1800"/>
            <w:shd w:fill="F7F9FC" w:val="clear"/>
            <w:tcMar>
              <w:top w:type="dxa" w:w="100"/>
              <w:left w:type="dxa" w:w="120"/>
              <w:bottom w:type="dxa" w:w="100"/>
              <w:right w:type="dxa" w:w="120"/>
            </w:tcMar>
          </w:tcPr>
          <w:p>
            <w:r>
              <w:rPr>
                <w:b w:val="false"/>
                <w:bCs w:val="false"/>
                <w:color w:val="1e293b"/>
                <w:sz w:val="18"/>
                <w:szCs w:val="18"/>
              </w:rPr>
              <w:t xml:space="preserve">20:15</w:t>
            </w:r>
          </w:p>
        </w:tc>
        <w:tc>
          <w:tcPr>
            <w:tcW w:type="dxa" w:w="7550"/>
            <w:shd w:fill="F7F9FC" w:val="clear"/>
            <w:tcMar>
              <w:top w:type="dxa" w:w="100"/>
              <w:left w:type="dxa" w:w="120"/>
              <w:bottom w:type="dxa" w:w="100"/>
              <w:right w:type="dxa" w:w="120"/>
            </w:tcMar>
          </w:tcPr>
          <w:p>
            <w:r>
              <w:rPr>
                <w:b w:val="false"/>
                <w:bCs w:val="false"/>
                <w:color w:val="1e293b"/>
                <w:sz w:val="18"/>
                <w:szCs w:val="18"/>
              </w:rPr>
              <w:t xml:space="preserve">Current-State Map</w:t>
            </w:r>
          </w:p>
        </w:tc>
      </w:tr>
      <w:tr>
        <w:tc>
          <w:tcPr>
            <w:tcW w:type="dxa" w:w="1800"/>
            <w:shd w:fill="FFFFFF" w:val="clear"/>
            <w:tcMar>
              <w:top w:type="dxa" w:w="100"/>
              <w:left w:type="dxa" w:w="120"/>
              <w:bottom w:type="dxa" w:w="100"/>
              <w:right w:type="dxa" w:w="120"/>
            </w:tcMar>
          </w:tcPr>
          <w:p>
            <w:r>
              <w:rPr>
                <w:b w:val="false"/>
                <w:bCs w:val="false"/>
                <w:color w:val="1e293b"/>
                <w:sz w:val="18"/>
                <w:szCs w:val="18"/>
              </w:rPr>
              <w:t xml:space="preserve">21:45</w:t>
            </w:r>
          </w:p>
        </w:tc>
        <w:tc>
          <w:tcPr>
            <w:tcW w:type="dxa" w:w="7550"/>
            <w:shd w:fill="FFFFFF" w:val="clear"/>
            <w:tcMar>
              <w:top w:type="dxa" w:w="100"/>
              <w:left w:type="dxa" w:w="120"/>
              <w:bottom w:type="dxa" w:w="100"/>
              <w:right w:type="dxa" w:w="120"/>
            </w:tcMar>
          </w:tcPr>
          <w:p>
            <w:r>
              <w:rPr>
                <w:b w:val="false"/>
                <w:bCs w:val="false"/>
                <w:color w:val="1e293b"/>
                <w:sz w:val="18"/>
                <w:szCs w:val="18"/>
              </w:rPr>
              <w:t xml:space="preserve">Meeting Intelligence</w:t>
            </w:r>
          </w:p>
        </w:tc>
      </w:tr>
      <w:tr>
        <w:tc>
          <w:tcPr>
            <w:tcW w:type="dxa" w:w="1800"/>
            <w:shd w:fill="F7F9FC" w:val="clear"/>
            <w:tcMar>
              <w:top w:type="dxa" w:w="100"/>
              <w:left w:type="dxa" w:w="120"/>
              <w:bottom w:type="dxa" w:w="100"/>
              <w:right w:type="dxa" w:w="120"/>
            </w:tcMar>
          </w:tcPr>
          <w:p>
            <w:r>
              <w:rPr>
                <w:b w:val="false"/>
                <w:bCs w:val="false"/>
                <w:color w:val="1e293b"/>
                <w:sz w:val="18"/>
                <w:szCs w:val="18"/>
              </w:rPr>
              <w:t xml:space="preserve">24:15</w:t>
            </w:r>
          </w:p>
        </w:tc>
        <w:tc>
          <w:tcPr>
            <w:tcW w:type="dxa" w:w="7550"/>
            <w:shd w:fill="F7F9FC" w:val="clear"/>
            <w:tcMar>
              <w:top w:type="dxa" w:w="100"/>
              <w:left w:type="dxa" w:w="120"/>
              <w:bottom w:type="dxa" w:w="100"/>
              <w:right w:type="dxa" w:w="120"/>
            </w:tcMar>
          </w:tcPr>
          <w:p>
            <w:r>
              <w:rPr>
                <w:b w:val="false"/>
                <w:bCs w:val="false"/>
                <w:color w:val="1e293b"/>
                <w:sz w:val="18"/>
                <w:szCs w:val="18"/>
              </w:rPr>
              <w:t xml:space="preserve">Legacy Knowledge Base</w:t>
            </w:r>
          </w:p>
        </w:tc>
      </w:tr>
      <w:tr>
        <w:tc>
          <w:tcPr>
            <w:tcW w:type="dxa" w:w="1800"/>
            <w:shd w:fill="FFFFFF" w:val="clear"/>
            <w:tcMar>
              <w:top w:type="dxa" w:w="100"/>
              <w:left w:type="dxa" w:w="120"/>
              <w:bottom w:type="dxa" w:w="100"/>
              <w:right w:type="dxa" w:w="120"/>
            </w:tcMar>
          </w:tcPr>
          <w:p>
            <w:r>
              <w:rPr>
                <w:b w:val="false"/>
                <w:bCs w:val="false"/>
                <w:color w:val="1e293b"/>
                <w:sz w:val="18"/>
                <w:szCs w:val="18"/>
              </w:rPr>
              <w:t xml:space="preserve">26:15</w:t>
            </w:r>
          </w:p>
        </w:tc>
        <w:tc>
          <w:tcPr>
            <w:tcW w:type="dxa" w:w="7550"/>
            <w:shd w:fill="FFFFFF" w:val="clear"/>
            <w:tcMar>
              <w:top w:type="dxa" w:w="100"/>
              <w:left w:type="dxa" w:w="120"/>
              <w:bottom w:type="dxa" w:w="100"/>
              <w:right w:type="dxa" w:w="120"/>
            </w:tcMar>
          </w:tcPr>
          <w:p>
            <w:r>
              <w:rPr>
                <w:b w:val="false"/>
                <w:bCs w:val="false"/>
                <w:color w:val="1e293b"/>
                <w:sz w:val="18"/>
                <w:szCs w:val="18"/>
              </w:rPr>
              <w:t xml:space="preserve">Change Impact Simulator</w:t>
            </w:r>
          </w:p>
        </w:tc>
      </w:tr>
      <w:tr>
        <w:tc>
          <w:tcPr>
            <w:tcW w:type="dxa" w:w="1800"/>
            <w:shd w:fill="F7F9FC" w:val="clear"/>
            <w:tcMar>
              <w:top w:type="dxa" w:w="100"/>
              <w:left w:type="dxa" w:w="120"/>
              <w:bottom w:type="dxa" w:w="100"/>
              <w:right w:type="dxa" w:w="120"/>
            </w:tcMar>
          </w:tcPr>
          <w:p>
            <w:r>
              <w:rPr>
                <w:b w:val="false"/>
                <w:bCs w:val="false"/>
                <w:color w:val="1e293b"/>
                <w:sz w:val="18"/>
                <w:szCs w:val="18"/>
              </w:rPr>
              <w:t xml:space="preserve">28:15</w:t>
            </w:r>
          </w:p>
        </w:tc>
        <w:tc>
          <w:tcPr>
            <w:tcW w:type="dxa" w:w="7550"/>
            <w:shd w:fill="F7F9FC" w:val="clear"/>
            <w:tcMar>
              <w:top w:type="dxa" w:w="100"/>
              <w:left w:type="dxa" w:w="120"/>
              <w:bottom w:type="dxa" w:w="100"/>
              <w:right w:type="dxa" w:w="120"/>
            </w:tcMar>
          </w:tcPr>
          <w:p>
            <w:r>
              <w:rPr>
                <w:b w:val="false"/>
                <w:bCs w:val="false"/>
                <w:color w:val="1e293b"/>
                <w:sz w:val="18"/>
                <w:szCs w:val="18"/>
              </w:rPr>
              <w:t xml:space="preserve">Upgrade Readiness</w:t>
            </w:r>
          </w:p>
        </w:tc>
      </w:tr>
      <w:tr>
        <w:tc>
          <w:tcPr>
            <w:tcW w:type="dxa" w:w="1800"/>
            <w:shd w:fill="FFFFFF" w:val="clear"/>
            <w:tcMar>
              <w:top w:type="dxa" w:w="100"/>
              <w:left w:type="dxa" w:w="120"/>
              <w:bottom w:type="dxa" w:w="100"/>
              <w:right w:type="dxa" w:w="120"/>
            </w:tcMar>
          </w:tcPr>
          <w:p>
            <w:r>
              <w:rPr>
                <w:b w:val="false"/>
                <w:bCs w:val="false"/>
                <w:color w:val="1e293b"/>
                <w:sz w:val="18"/>
                <w:szCs w:val="18"/>
              </w:rPr>
              <w:t xml:space="preserve">29:45</w:t>
            </w:r>
          </w:p>
        </w:tc>
        <w:tc>
          <w:tcPr>
            <w:tcW w:type="dxa" w:w="7550"/>
            <w:shd w:fill="FFFFFF" w:val="clear"/>
            <w:tcMar>
              <w:top w:type="dxa" w:w="100"/>
              <w:left w:type="dxa" w:w="120"/>
              <w:bottom w:type="dxa" w:w="100"/>
              <w:right w:type="dxa" w:w="120"/>
            </w:tcMar>
          </w:tcPr>
          <w:p>
            <w:r>
              <w:rPr>
                <w:b w:val="false"/>
                <w:bCs w:val="false"/>
                <w:color w:val="1e293b"/>
                <w:sz w:val="18"/>
                <w:szCs w:val="18"/>
              </w:rPr>
              <w:t xml:space="preserve">Case Study Generator</w:t>
            </w:r>
          </w:p>
        </w:tc>
      </w:tr>
      <w:tr>
        <w:tc>
          <w:tcPr>
            <w:tcW w:type="dxa" w:w="1800"/>
            <w:shd w:fill="F7F9FC" w:val="clear"/>
            <w:tcMar>
              <w:top w:type="dxa" w:w="100"/>
              <w:left w:type="dxa" w:w="120"/>
              <w:bottom w:type="dxa" w:w="100"/>
              <w:right w:type="dxa" w:w="120"/>
            </w:tcMar>
          </w:tcPr>
          <w:p>
            <w:r>
              <w:rPr>
                <w:b w:val="false"/>
                <w:bCs w:val="false"/>
                <w:color w:val="1e293b"/>
                <w:sz w:val="18"/>
                <w:szCs w:val="18"/>
              </w:rPr>
              <w:t xml:space="preserve">31:15</w:t>
            </w:r>
          </w:p>
        </w:tc>
        <w:tc>
          <w:tcPr>
            <w:tcW w:type="dxa" w:w="7550"/>
            <w:shd w:fill="F7F9FC" w:val="clear"/>
            <w:tcMar>
              <w:top w:type="dxa" w:w="100"/>
              <w:left w:type="dxa" w:w="120"/>
              <w:bottom w:type="dxa" w:w="100"/>
              <w:right w:type="dxa" w:w="120"/>
            </w:tcMar>
          </w:tcPr>
          <w:p>
            <w:r>
              <w:rPr>
                <w:b w:val="false"/>
                <w:bCs w:val="false"/>
                <w:color w:val="1e293b"/>
                <w:sz w:val="18"/>
                <w:szCs w:val="18"/>
              </w:rPr>
              <w:t xml:space="preserve">Risk Heatmap</w:t>
            </w:r>
          </w:p>
        </w:tc>
      </w:tr>
      <w:tr>
        <w:tc>
          <w:tcPr>
            <w:tcW w:type="dxa" w:w="1800"/>
            <w:shd w:fill="FFFFFF" w:val="clear"/>
            <w:tcMar>
              <w:top w:type="dxa" w:w="100"/>
              <w:left w:type="dxa" w:w="120"/>
              <w:bottom w:type="dxa" w:w="100"/>
              <w:right w:type="dxa" w:w="120"/>
            </w:tcMar>
          </w:tcPr>
          <w:p>
            <w:r>
              <w:rPr>
                <w:b w:val="false"/>
                <w:bCs w:val="false"/>
                <w:color w:val="1e293b"/>
                <w:sz w:val="18"/>
                <w:szCs w:val="18"/>
              </w:rPr>
              <w:t xml:space="preserve">33:15</w:t>
            </w:r>
          </w:p>
        </w:tc>
        <w:tc>
          <w:tcPr>
            <w:tcW w:type="dxa" w:w="7550"/>
            <w:shd w:fill="FFFFFF" w:val="clear"/>
            <w:tcMar>
              <w:top w:type="dxa" w:w="100"/>
              <w:left w:type="dxa" w:w="120"/>
              <w:bottom w:type="dxa" w:w="100"/>
              <w:right w:type="dxa" w:w="120"/>
            </w:tcMar>
          </w:tcPr>
          <w:p>
            <w:r>
              <w:rPr>
                <w:b w:val="false"/>
                <w:bCs w:val="false"/>
                <w:color w:val="1e293b"/>
                <w:sz w:val="18"/>
                <w:szCs w:val="18"/>
              </w:rPr>
              <w:t xml:space="preserve">Team Performance</w:t>
            </w:r>
          </w:p>
        </w:tc>
      </w:tr>
      <w:tr>
        <w:tc>
          <w:tcPr>
            <w:tcW w:type="dxa" w:w="1800"/>
            <w:shd w:fill="F7F9FC" w:val="clear"/>
            <w:tcMar>
              <w:top w:type="dxa" w:w="100"/>
              <w:left w:type="dxa" w:w="120"/>
              <w:bottom w:type="dxa" w:w="100"/>
              <w:right w:type="dxa" w:w="120"/>
            </w:tcMar>
          </w:tcPr>
          <w:p>
            <w:r>
              <w:rPr>
                <w:b w:val="false"/>
                <w:bCs w:val="false"/>
                <w:color w:val="1e293b"/>
                <w:sz w:val="18"/>
                <w:szCs w:val="18"/>
              </w:rPr>
              <w:t xml:space="preserve">35:15</w:t>
            </w:r>
          </w:p>
        </w:tc>
        <w:tc>
          <w:tcPr>
            <w:tcW w:type="dxa" w:w="7550"/>
            <w:shd w:fill="F7F9FC" w:val="clear"/>
            <w:tcMar>
              <w:top w:type="dxa" w:w="100"/>
              <w:left w:type="dxa" w:w="120"/>
              <w:bottom w:type="dxa" w:w="100"/>
              <w:right w:type="dxa" w:w="120"/>
            </w:tcMar>
          </w:tcPr>
          <w:p>
            <w:r>
              <w:rPr>
                <w:b w:val="false"/>
                <w:bCs w:val="false"/>
                <w:color w:val="1e293b"/>
                <w:sz w:val="18"/>
                <w:szCs w:val="18"/>
              </w:rPr>
              <w:t xml:space="preserve">Root-Cause Assistant, Notifications &amp; Reset</w:t>
            </w:r>
          </w:p>
        </w:tc>
      </w:tr>
      <w:tr>
        <w:tc>
          <w:tcPr>
            <w:tcW w:type="dxa" w:w="1800"/>
            <w:shd w:fill="FFFFFF" w:val="clear"/>
            <w:tcMar>
              <w:top w:type="dxa" w:w="100"/>
              <w:left w:type="dxa" w:w="120"/>
              <w:bottom w:type="dxa" w:w="100"/>
              <w:right w:type="dxa" w:w="120"/>
            </w:tcMar>
          </w:tcPr>
          <w:p>
            <w:r>
              <w:rPr>
                <w:b w:val="false"/>
                <w:bCs w:val="false"/>
                <w:color w:val="1e293b"/>
                <w:sz w:val="18"/>
                <w:szCs w:val="18"/>
              </w:rPr>
              <w:t xml:space="preserve">37:15</w:t>
            </w:r>
          </w:p>
        </w:tc>
        <w:tc>
          <w:tcPr>
            <w:tcW w:type="dxa" w:w="7550"/>
            <w:shd w:fill="FFFFFF" w:val="clear"/>
            <w:tcMar>
              <w:top w:type="dxa" w:w="100"/>
              <w:left w:type="dxa" w:w="120"/>
              <w:bottom w:type="dxa" w:w="100"/>
              <w:right w:type="dxa" w:w="120"/>
            </w:tcMar>
          </w:tcPr>
          <w:p>
            <w:r>
              <w:rPr>
                <w:b w:val="false"/>
                <w:bCs w:val="false"/>
                <w:color w:val="1e293b"/>
                <w:sz w:val="18"/>
                <w:szCs w:val="18"/>
              </w:rPr>
              <w:t xml:space="preserve">Role-based recap</w:t>
            </w:r>
          </w:p>
        </w:tc>
      </w:tr>
      <w:tr>
        <w:tc>
          <w:tcPr>
            <w:tcW w:type="dxa" w:w="1800"/>
            <w:shd w:fill="F7F9FC" w:val="clear"/>
            <w:tcMar>
              <w:top w:type="dxa" w:w="100"/>
              <w:left w:type="dxa" w:w="120"/>
              <w:bottom w:type="dxa" w:w="100"/>
              <w:right w:type="dxa" w:w="120"/>
            </w:tcMar>
          </w:tcPr>
          <w:p>
            <w:r>
              <w:rPr>
                <w:b w:val="false"/>
                <w:bCs w:val="false"/>
                <w:color w:val="1e293b"/>
                <w:sz w:val="18"/>
                <w:szCs w:val="18"/>
              </w:rPr>
              <w:t xml:space="preserve">39:00</w:t>
            </w:r>
          </w:p>
        </w:tc>
        <w:tc>
          <w:tcPr>
            <w:tcW w:type="dxa" w:w="7550"/>
            <w:shd w:fill="F7F9FC" w:val="clear"/>
            <w:tcMar>
              <w:top w:type="dxa" w:w="100"/>
              <w:left w:type="dxa" w:w="120"/>
              <w:bottom w:type="dxa" w:w="100"/>
              <w:right w:type="dxa" w:w="120"/>
            </w:tcMar>
          </w:tcPr>
          <w:p>
            <w:r>
              <w:rPr>
                <w:b w:val="false"/>
                <w:bCs w:val="false"/>
                <w:color w:val="1e293b"/>
                <w:sz w:val="18"/>
                <w:szCs w:val="18"/>
              </w:rPr>
              <w:t xml:space="preserve">Closing</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9bef" w:sz="4"/>
              <w:left w:val="single" w:color="2e9bef" w:sz="24"/>
              <w:bottom w:val="single" w:color="2e9bef" w:sz="4"/>
              <w:right w:val="single" w:color="2e9bef" w:sz="4"/>
            </w:tcBorders>
            <w:shd w:fill="F0F6FF" w:val="clear"/>
            <w:tcMar>
              <w:top w:type="dxa" w:w="150"/>
              <w:left w:type="dxa" w:w="200"/>
              <w:bottom w:type="dxa" w:w="150"/>
              <w:right w:type="dxa" w:w="200"/>
            </w:tcMar>
          </w:tcPr>
          <w:p>
            <w:pPr>
              <w:spacing w:after="60"/>
            </w:pPr>
            <w:r>
              <w:rPr>
                <w:b/>
                <w:bCs/>
                <w:color w:val="0b1e3d"/>
              </w:rPr>
              <w:t xml:space="preserve">Short-cut version (~12 minutes)</w:t>
            </w:r>
          </w:p>
          <w:p>
            <w:r>
              <w:rPr>
                <w:i/>
                <w:iCs/>
                <w:color w:val="475569"/>
                <w:sz w:val="20"/>
                <w:szCs w:val="20"/>
              </w:rPr>
              <w:t xml:space="preserve">Keep Segments 0, 1, 2, 3, 4, 6, 7, 17 (partial), 18, 19 only, and trim each SAY block to its first sentence. This still covers the core story — evidence, transparent scoring, value proof, governance, and multi-role support — without the full tools tour.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jc w:val="right"/>
    </w:pPr>
    <w:r>
      <w:rPr>
        <w:color w:val="94A3B8"/>
        <w:sz w:val="16"/>
        <w:szCs w:val="16"/>
      </w:rPr>
      <w:t xml:space="preserve">PrasuFlow AI — Demo Video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2026-08-23T14:47:52.979Z</dcterms:created>
  <dcterms:modified xsi:type="dcterms:W3CDTF">2026-08-23T14:47:52.979Z</dcterms:modified>
</cp:coreProperties>
</file>

<file path=docProps/custom.xml><?xml version="1.0" encoding="utf-8"?>
<Properties xmlns="http://schemas.openxmlformats.org/officeDocument/2006/custom-properties" xmlns:vt="http://schemas.openxmlformats.org/officeDocument/2006/docPropsVTypes"/>
</file>