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2 ETL Write Up</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Adent, Tyler Beringer, Victor Rincon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3"/>
        <w:spacing w:line="480" w:lineRule="auto"/>
        <w:rPr>
          <w:rFonts w:ascii="Times New Roman" w:cs="Times New Roman" w:eastAsia="Times New Roman" w:hAnsi="Times New Roman"/>
        </w:rPr>
      </w:pPr>
      <w:bookmarkStart w:colFirst="0" w:colLast="0" w:name="_7up04f1oj2d0" w:id="0"/>
      <w:bookmarkEnd w:id="0"/>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was to successfully design and implement an ETL pipeline for our given crowdfunding data. The reason that we want to do this is because by doing so, we can get some useful insights about statistics such as campaign success rates, high-performing categories and sub-categories, and backer behavior within our dataset. Our plan to achieve this was to take in the raw data from excel spreadsheets in .xlsx format, clean it and plan its database structure out via an ERD, load it into a relational database, then make it ready for analysis.</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3"/>
        <w:spacing w:line="480" w:lineRule="auto"/>
        <w:rPr>
          <w:rFonts w:ascii="Times New Roman" w:cs="Times New Roman" w:eastAsia="Times New Roman" w:hAnsi="Times New Roman"/>
        </w:rPr>
      </w:pPr>
      <w:bookmarkStart w:colFirst="0" w:colLast="0" w:name="_x775e9jz2bfg" w:id="1"/>
      <w:bookmarkEnd w:id="1"/>
      <w:r w:rsidDel="00000000" w:rsidR="00000000" w:rsidRPr="00000000">
        <w:rPr>
          <w:rFonts w:ascii="Times New Roman" w:cs="Times New Roman" w:eastAsia="Times New Roman" w:hAnsi="Times New Roman"/>
          <w:rtl w:val="0"/>
        </w:rPr>
        <w:t xml:space="preserve">ETL Pipeline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extraction step, we imported the raw data from two excel files: crowdfunding.xlsx and contacts.xlsx. The crowdfunding.xlsx file contained data about campaigns including the company name, a blurb about the campaign, the money goal and pledge amount, the outcome and backer count, the category and subcategory, and the launch and deadline date, along with a few other columns. Contacts.xlsx contained rows of contacts in the format of contact_id, name, and email.</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transformation process, we cleaned and restructured our data to make it more usable for analysis and put it into our relational database. One of the key transformations we made was splitting the category and subcategory column in crowdfunding.xlsx in order to have them be separate attributes, and we assigned them unique IDs to fit the structure of our database. As for contacts.xlsx, we wanted to make contact_id, first and last name, and email their own attributes for each row, so we split the unorganized rows that contained the data using a lambda function and some string splitting. The screenshots below showed the form of our data after the transformation process was complete.</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350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62413" cy="1373954"/>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62413" cy="137395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loaded this data into our PostgreSQL relational database following our ERD. We had four tables: Category, Subcategory, Campaign, and COntacts. Below is our ERD.</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86188" cy="260241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86188" cy="260241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spacing w:line="480" w:lineRule="auto"/>
        <w:rPr>
          <w:rFonts w:ascii="Times New Roman" w:cs="Times New Roman" w:eastAsia="Times New Roman" w:hAnsi="Times New Roman"/>
        </w:rPr>
      </w:pPr>
      <w:bookmarkStart w:colFirst="0" w:colLast="0" w:name="_iuyyplmdfope" w:id="2"/>
      <w:bookmarkEnd w:id="2"/>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7988" cy="2908890"/>
            <wp:effectExtent b="25400" l="25400" r="25400" t="25400"/>
            <wp:docPr id="3" name="image3.png"/>
            <a:graphic>
              <a:graphicData uri="http://schemas.openxmlformats.org/drawingml/2006/picture">
                <pic:pic>
                  <pic:nvPicPr>
                    <pic:cNvPr id="0" name="image3.png"/>
                    <pic:cNvPicPr preferRelativeResize="0"/>
                  </pic:nvPicPr>
                  <pic:blipFill>
                    <a:blip r:embed="rId9"/>
                    <a:srcRect b="0" l="1355" r="1355" t="1308"/>
                    <a:stretch>
                      <a:fillRect/>
                    </a:stretch>
                  </pic:blipFill>
                  <pic:spPr>
                    <a:xfrm>
                      <a:off x="0" y="0"/>
                      <a:ext cx="2947988" cy="2908890"/>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57513" cy="2980923"/>
            <wp:effectExtent b="25400" l="25400" r="25400" t="25400"/>
            <wp:docPr id="5" name="image4.png"/>
            <a:graphic>
              <a:graphicData uri="http://schemas.openxmlformats.org/drawingml/2006/picture">
                <pic:pic>
                  <pic:nvPicPr>
                    <pic:cNvPr id="0" name="image4.png"/>
                    <pic:cNvPicPr preferRelativeResize="0"/>
                  </pic:nvPicPr>
                  <pic:blipFill>
                    <a:blip r:embed="rId10"/>
                    <a:srcRect b="1739" l="1400" r="2521" t="0"/>
                    <a:stretch>
                      <a:fillRect/>
                    </a:stretch>
                  </pic:blipFill>
                  <pic:spPr>
                    <a:xfrm>
                      <a:off x="0" y="0"/>
                      <a:ext cx="2957513" cy="298092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dataset, the U.S. had the most campaigns. This is evident because while they made up 77.2% of successful campaigns, they also made up a whopping 75.3% of failed campaigns. The U.S. and China succeeded more than they failed, while the rest pictured did not.</w:t>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7172" cy="3036280"/>
            <wp:effectExtent b="0" l="0" r="0" t="0"/>
            <wp:docPr id="2" name="image6.png"/>
            <a:graphic>
              <a:graphicData uri="http://schemas.openxmlformats.org/drawingml/2006/picture">
                <pic:pic>
                  <pic:nvPicPr>
                    <pic:cNvPr id="0" name="image6.png"/>
                    <pic:cNvPicPr preferRelativeResize="0"/>
                  </pic:nvPicPr>
                  <pic:blipFill>
                    <a:blip r:embed="rId11"/>
                    <a:srcRect b="0" l="0" r="801" t="0"/>
                    <a:stretch>
                      <a:fillRect/>
                    </a:stretch>
                  </pic:blipFill>
                  <pic:spPr>
                    <a:xfrm>
                      <a:off x="0" y="0"/>
                      <a:ext cx="5817172" cy="30362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a positive correlation between backers and pledged amounts. We can also see a lot more blue than red as pledge amount and backer count increase together, suggesting that these variables together contribute to success. However, we can see some campaigns with high pledges and backers can fail, so it’s not a definitive fact.</w:t>
      </w:r>
    </w:p>
    <w:p w:rsidR="00000000" w:rsidDel="00000000" w:rsidP="00000000" w:rsidRDefault="00000000" w:rsidRPr="00000000" w14:paraId="0000001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3"/>
        <w:spacing w:line="480" w:lineRule="auto"/>
        <w:rPr>
          <w:rFonts w:ascii="Times New Roman" w:cs="Times New Roman" w:eastAsia="Times New Roman" w:hAnsi="Times New Roman"/>
        </w:rPr>
      </w:pPr>
      <w:bookmarkStart w:colFirst="0" w:colLast="0" w:name="_wg5wfga2rzq" w:id="3"/>
      <w:bookmarkEnd w:id="3"/>
      <w:r w:rsidDel="00000000" w:rsidR="00000000" w:rsidRPr="00000000">
        <w:rPr>
          <w:rFonts w:ascii="Times New Roman" w:cs="Times New Roman" w:eastAsia="Times New Roman" w:hAnsi="Times New Roman"/>
          <w:rtl w:val="0"/>
        </w:rPr>
        <w:t xml:space="preserve">Conclusions and Future Work </w:t>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project gave us valuable insights into campaign performance, such as country campaign success rate and the correlation between a campaign’s success and its backers count and pledged amount based on historical data. In the future, this pipeline could be productionalized by automating the ingestion of new crowdfunding data and using scheduled scripts to perform ETL seamlessly. From there, we’d need to regularly perform data validation and monitor its processes and outputs to ensure it remains accurate.</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