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Testbeispiele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Zum Testen des Parsers ist im Quellcode in der Klasse ParserTest ein Testprogramm f</w:t>
      </w:r>
      <w:r>
        <w:rPr>
          <w:rtl w:val="0"/>
        </w:rPr>
        <w:t>ü</w:t>
      </w:r>
      <w:r>
        <w:rPr>
          <w:rtl w:val="0"/>
        </w:rPr>
        <w:t>r die Konsole hinterlegt.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Dies funktioniert nach dem folgenden Prinzip: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Zeile: Eingabestring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Zeile: Wiedergabe des vom Parser erstellten Syntaxbaumes als String (oder Fehlermeldung)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Zeile: Auswertung des Syntaxbaumes (oder Fehlermeldung)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Zu Testzwecken ist im Testprogramm der Wert von x auf 1 festgesetzt.</w:t>
      </w:r>
    </w:p>
    <w:p>
      <w:pPr>
        <w:pStyle w:val="Body"/>
        <w:bidi w:val="0"/>
      </w:pPr>
      <w:r>
        <w:rPr>
          <w:rtl w:val="0"/>
        </w:rPr>
        <w:t>Bei jedem Start des Testprogramms werden zun</w:t>
      </w:r>
      <w:r>
        <w:rPr>
          <w:rtl w:val="0"/>
        </w:rPr>
        <w:t>ä</w:t>
      </w:r>
      <w:r>
        <w:rPr>
          <w:rtl w:val="0"/>
        </w:rPr>
        <w:t>chst einige im Quellcode festgehaltene Beispiele durchlaufen, um g</w:t>
      </w:r>
      <w:r>
        <w:rPr>
          <w:rtl w:val="0"/>
        </w:rPr>
        <w:t>ä</w:t>
      </w:r>
      <w:r>
        <w:rPr>
          <w:rtl w:val="0"/>
        </w:rPr>
        <w:t>ngige F</w:t>
      </w:r>
      <w:r>
        <w:rPr>
          <w:rtl w:val="0"/>
        </w:rPr>
        <w:t>ä</w:t>
      </w:r>
      <w:r>
        <w:rPr>
          <w:rtl w:val="0"/>
        </w:rPr>
        <w:t>lle schnell abdecken zu k</w:t>
      </w:r>
      <w:r>
        <w:rPr>
          <w:rtl w:val="0"/>
        </w:rPr>
        <w:t>ö</w:t>
      </w:r>
      <w:r>
        <w:rPr>
          <w:rtl w:val="0"/>
        </w:rPr>
        <w:t>nnen. Anschlie</w:t>
      </w:r>
      <w:r>
        <w:rPr>
          <w:rtl w:val="0"/>
        </w:rPr>
        <w:t>ß</w:t>
      </w:r>
      <w:r>
        <w:rPr>
          <w:rtl w:val="0"/>
        </w:rPr>
        <w:t>end startet ein REPL, in der beliebige mathematische Ausdr</w:t>
      </w:r>
      <w:r>
        <w:rPr>
          <w:rtl w:val="0"/>
        </w:rPr>
        <w:t>ü</w:t>
      </w:r>
      <w:r>
        <w:rPr>
          <w:rtl w:val="0"/>
        </w:rPr>
        <w:t>cke eingegeben und getestet werden k</w:t>
      </w:r>
      <w:r>
        <w:rPr>
          <w:rtl w:val="0"/>
        </w:rPr>
        <w:t>ö</w:t>
      </w:r>
      <w:r>
        <w:rPr>
          <w:rtl w:val="0"/>
        </w:rPr>
        <w:t>nnen.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 Folgenden ist die Ausgabe des Testprogramms bei Durchlauf der im Quellcode verankerten Beispiele zu sehen.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Eingabe: x + x * 2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Wiedergabe des Parsers: (x + (x * 2.0))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Auswertung: 3.0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Eingabe: 1/-0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Wiedergabe des Parsers: (1.0 / (-0.0))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Auswertung: NaN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Eingabe: x^2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Wiedergabe des Parsers: (x^2.0)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Auswertung: 1.0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Eingabe: 100 tan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Illegal symbol "tan" at position 4: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100 </w:t>
      </w:r>
      <w:r>
        <w:rPr>
          <w:rFonts w:ascii="Courier New" w:hAnsi="Courier New"/>
          <w:rtl w:val="0"/>
          <w:lang w:val="de-DE"/>
        </w:rPr>
        <w:t>tan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^^^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Eingabe: cos(x) * 100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Wiedergabe des Parsers: (cos(x) * 100.0)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Auswertung: 54.03023058681398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Eingabe: tan(10)*x + 5 ^2 ^2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Wiedergabe des Parsers: ((tan(10.0) * x) + (5.0^(2.0^2.0)))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Auswertung: 625.6483608274591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Eingabe: 10 + 10 * 1000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Wiedergabe des Parsers: (10.0 + (10.0 * 1000.0))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Auswertung: 10010.0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Eingabe: (10 + 10) * 1000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Wiedergabe des Parsers: ((10.0 + 10.0) * 1000.0)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Auswertung: 20000.0</w:t>
      </w:r>
      <w:r>
        <w:rPr>
          <w:rFonts w:ascii="Courier New" w:hAnsi="Courier New"/>
          <w:rtl w:val="0"/>
          <w:lang w:val="de-DE"/>
        </w:rPr>
        <w:t>#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Eingabe: x -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Unexpected end of input!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bidi w:val="0"/>
      </w:pPr>
      <w:r>
        <w:rPr>
          <w:rtl w:val="0"/>
        </w:rPr>
        <w:t>Im Folgenden sind einige Screenshots des Programms in Aktion aufgef</w:t>
      </w:r>
      <w:r>
        <w:rPr>
          <w:rtl w:val="0"/>
        </w:rPr>
        <w:t>ü</w:t>
      </w:r>
      <w:r>
        <w:rPr>
          <w:rtl w:val="0"/>
        </w:rPr>
        <w:t>hrt.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184497</wp:posOffset>
            </wp:positionV>
            <wp:extent cx="6120057" cy="3706583"/>
            <wp:effectExtent l="0" t="0" r="0" b="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7065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tl w:val="0"/>
        </w:rPr>
        <w:t>Hier ist das Programm ohne eingegebene Funktionen zu sehen. Es liegt also quasi brach.</w:t>
      </w: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-126652</wp:posOffset>
            </wp:positionH>
            <wp:positionV relativeFrom="line">
              <wp:posOffset>165465</wp:posOffset>
            </wp:positionV>
            <wp:extent cx="6120057" cy="3706583"/>
            <wp:effectExtent l="0" t="0" r="0" b="0"/>
            <wp:wrapTopAndBottom distT="152400" distB="15240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7065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tl w:val="0"/>
          <w:lang w:val="de-DE"/>
        </w:rPr>
        <w:t>Hier sind zwei Funktionen geplottet, welche beide asymptotische Polstellen aufweisen. Diese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ssen besonders behandelt werden, um sie korrekt darzustellen. Es ist zu sehen, dass dies gelingt.</w:t>
      </w:r>
    </w:p>
    <w:p>
      <w:pPr>
        <w:pStyle w:val="Body"/>
        <w:bidi w:val="0"/>
      </w:pPr>
      <w:r>
        <w:rPr>
          <w:rtl w:val="0"/>
        </w:rPr>
        <w:t>Hier ist der Dialog zur Farbauswahl zu sehen. Mithilfe von diesem l</w:t>
      </w:r>
      <w:r>
        <w:rPr>
          <w:rtl w:val="0"/>
        </w:rPr>
        <w:t>ä</w:t>
      </w:r>
      <w:r>
        <w:rPr>
          <w:rtl w:val="0"/>
        </w:rPr>
        <w:t xml:space="preserve">sst sich die Farbe eines jeden Graphs beliebig </w:t>
      </w:r>
      <w:r>
        <w:rPr>
          <w:rtl w:val="0"/>
        </w:rPr>
        <w:t>ä</w:t>
      </w:r>
      <w:r>
        <w:rPr>
          <w:rtl w:val="0"/>
        </w:rPr>
        <w:t>ndern. Die Farbe links stellt d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5459890</wp:posOffset>
            </wp:positionV>
            <wp:extent cx="6120057" cy="3799515"/>
            <wp:effectExtent l="0" t="0" r="0" b="0"/>
            <wp:wrapTopAndBottom distT="152400" distB="152400"/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7995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abei die alte, die Farbe rechts die neue dar.</w:t>
      </w:r>
    </w:p>
    <w:p>
      <w:pPr>
        <w:pStyle w:val="Body"/>
        <w:rPr>
          <w:rFonts w:ascii="Farah Regular" w:cs="Farah Regular" w:hAnsi="Farah Regular" w:eastAsia="Farah Regular"/>
        </w:rPr>
      </w:pPr>
    </w:p>
    <w:p>
      <w:pPr>
        <w:pStyle w:val="Body"/>
        <w:bidi w:val="0"/>
      </w:pPr>
      <w:r>
        <w:rPr>
          <w:rtl w:val="0"/>
        </w:rPr>
        <w:t>Hier sieht man in einem sch</w:t>
      </w:r>
      <w:r>
        <w:rPr>
          <w:rtl w:val="0"/>
        </w:rPr>
        <w:t>ö</w:t>
      </w:r>
      <w:r>
        <w:rPr>
          <w:rtl w:val="0"/>
        </w:rPr>
        <w:t>nen Beispiel noch einmal die Leistungsf</w:t>
      </w:r>
      <w:r>
        <w:rPr>
          <w:rtl w:val="0"/>
        </w:rPr>
        <w:t>ä</w:t>
      </w:r>
      <w:r>
        <w:rPr>
          <w:rtl w:val="0"/>
        </w:rPr>
        <w:t>higkeit des Parsers und Plotters.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872400</wp:posOffset>
            </wp:positionV>
            <wp:extent cx="6120057" cy="3799515"/>
            <wp:effectExtent l="0" t="0" r="0" b="0"/>
            <wp:wrapTopAndBottom distT="152400" distB="15240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7995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Farah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