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rPr>
      </w:pPr>
      <w:bookmarkStart w:colFirst="0" w:colLast="0" w:name="_iy628gqmr8kn" w:id="0"/>
      <w:bookmarkEnd w:id="0"/>
      <w:r w:rsidDel="00000000" w:rsidR="00000000" w:rsidRPr="00000000">
        <w:rPr>
          <w:b w:val="1"/>
          <w:rtl w:val="0"/>
        </w:rPr>
        <w:t xml:space="preserve">Lendable Financial Dashboard – Specification Document</w:t>
      </w:r>
    </w:p>
    <w:p w:rsidR="00000000" w:rsidDel="00000000" w:rsidP="00000000" w:rsidRDefault="00000000" w:rsidRPr="00000000" w14:paraId="00000002">
      <w:pPr>
        <w:pStyle w:val="Heading1"/>
        <w:keepNext w:val="0"/>
        <w:keepLines w:val="0"/>
        <w:spacing w:after="40" w:before="240" w:lineRule="auto"/>
        <w:rPr>
          <w:b w:val="1"/>
        </w:rPr>
      </w:pPr>
      <w:bookmarkStart w:colFirst="0" w:colLast="0" w:name="_cmuahuimj3bx" w:id="1"/>
      <w:bookmarkEnd w:id="1"/>
      <w:r w:rsidDel="00000000" w:rsidR="00000000" w:rsidRPr="00000000">
        <w:rPr>
          <w:b w:val="1"/>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The Lendable financial dashboard will provide an interactive, visual summary of key financial metrics, portfolio exposures, fund level details  and concentration limits. The dashboard should allow users to easily monitor performance, explore portfolio breakdowns and ensure compliance with fund restrictions.</w:t>
      </w:r>
    </w:p>
    <w:p w:rsidR="00000000" w:rsidDel="00000000" w:rsidP="00000000" w:rsidRDefault="00000000" w:rsidRPr="00000000" w14:paraId="00000004">
      <w:pPr>
        <w:spacing w:after="240" w:before="240" w:lineRule="auto"/>
        <w:rPr/>
      </w:pPr>
      <w:r w:rsidDel="00000000" w:rsidR="00000000" w:rsidRPr="00000000">
        <w:rPr>
          <w:rtl w:val="0"/>
        </w:rPr>
        <w:t xml:space="preserve">The dashboard must be designed for </w:t>
      </w:r>
      <w:r w:rsidDel="00000000" w:rsidR="00000000" w:rsidRPr="00000000">
        <w:rPr>
          <w:rtl w:val="0"/>
        </w:rPr>
        <w:t xml:space="preserve">interactivity and flexibility</w:t>
      </w:r>
      <w:r w:rsidDel="00000000" w:rsidR="00000000" w:rsidRPr="00000000">
        <w:rPr>
          <w:rtl w:val="0"/>
        </w:rPr>
        <w:t xml:space="preserve">, allowing users to filter by date, fund, region, country, sector, and borrower.</w:t>
      </w:r>
    </w:p>
    <w:p w:rsidR="00000000" w:rsidDel="00000000" w:rsidP="00000000" w:rsidRDefault="00000000" w:rsidRPr="00000000" w14:paraId="00000005">
      <w:pPr>
        <w:pStyle w:val="Heading2"/>
        <w:keepNext w:val="0"/>
        <w:keepLines w:val="0"/>
        <w:spacing w:before="280" w:lineRule="auto"/>
        <w:rPr>
          <w:b w:val="1"/>
        </w:rPr>
      </w:pPr>
      <w:bookmarkStart w:colFirst="0" w:colLast="0" w:name="_fr83gqtm75jh" w:id="2"/>
      <w:bookmarkEnd w:id="2"/>
      <w:r w:rsidDel="00000000" w:rsidR="00000000" w:rsidRPr="00000000">
        <w:rPr>
          <w:b w:val="1"/>
          <w:rtl w:val="0"/>
        </w:rPr>
        <w:t xml:space="preserve">Dashboard components</w:t>
      </w:r>
    </w:p>
    <w:p w:rsidR="00000000" w:rsidDel="00000000" w:rsidP="00000000" w:rsidRDefault="00000000" w:rsidRPr="00000000" w14:paraId="00000006">
      <w:pPr>
        <w:pStyle w:val="Heading2"/>
        <w:spacing w:after="240" w:before="240" w:lineRule="auto"/>
        <w:rPr>
          <w:b w:val="1"/>
        </w:rPr>
      </w:pPr>
      <w:bookmarkStart w:colFirst="0" w:colLast="0" w:name="_ygprbrsfs1xo" w:id="3"/>
      <w:bookmarkEnd w:id="3"/>
      <w:r w:rsidDel="00000000" w:rsidR="00000000" w:rsidRPr="00000000">
        <w:rPr>
          <w:rtl w:val="0"/>
        </w:rPr>
        <w:t xml:space="preserve"> </w:t>
      </w:r>
      <w:r w:rsidDel="00000000" w:rsidR="00000000" w:rsidRPr="00000000">
        <w:rPr>
          <w:b w:val="1"/>
          <w:rtl w:val="0"/>
        </w:rPr>
        <w:t xml:space="preserve">1. Exposure (AUM)</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Total Assets Under Management (AUM), using Fair Value data (in USD)</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rtl w:val="0"/>
        </w:rPr>
        <w:t xml:space="preserve">Views:</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By fund</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By region</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By country</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By segment (sector)</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rtl w:val="0"/>
        </w:rPr>
        <w:t xml:space="preserve">Filters:</w:t>
      </w:r>
      <w:r w:rsidDel="00000000" w:rsidR="00000000" w:rsidRPr="00000000">
        <w:rPr>
          <w:rtl w:val="0"/>
        </w:rPr>
        <w:t xml:space="preserve"> As of date</w:t>
      </w:r>
    </w:p>
    <w:p w:rsidR="00000000" w:rsidDel="00000000" w:rsidP="00000000" w:rsidRDefault="00000000" w:rsidRPr="00000000" w14:paraId="0000000E">
      <w:pPr>
        <w:pStyle w:val="Heading2"/>
        <w:spacing w:after="240" w:before="240" w:lineRule="auto"/>
        <w:rPr>
          <w:b w:val="1"/>
        </w:rPr>
      </w:pPr>
      <w:bookmarkStart w:colFirst="0" w:colLast="0" w:name="_hx2m42bk46yw" w:id="4"/>
      <w:bookmarkEnd w:id="4"/>
      <w:r w:rsidDel="00000000" w:rsidR="00000000" w:rsidRPr="00000000">
        <w:rPr>
          <w:b w:val="1"/>
          <w:rtl w:val="0"/>
        </w:rPr>
        <w:t xml:space="preserve">2. Principal balance</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Principal balance in USD and as % of each portfolio/fund.</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Views:</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By fund</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By region</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tl w:val="0"/>
        </w:rPr>
        <w:t xml:space="preserve">By country</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By segment (sector)</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rtl w:val="0"/>
        </w:rPr>
        <w:t xml:space="preserve">Filters:</w:t>
      </w:r>
      <w:r w:rsidDel="00000000" w:rsidR="00000000" w:rsidRPr="00000000">
        <w:rPr>
          <w:rtl w:val="0"/>
        </w:rPr>
        <w:t xml:space="preserve"> As of date</w:t>
      </w:r>
    </w:p>
    <w:p w:rsidR="00000000" w:rsidDel="00000000" w:rsidP="00000000" w:rsidRDefault="00000000" w:rsidRPr="00000000" w14:paraId="00000016">
      <w:pPr>
        <w:pStyle w:val="Heading2"/>
        <w:spacing w:after="240" w:before="240" w:lineRule="auto"/>
        <w:rPr>
          <w:b w:val="1"/>
        </w:rPr>
      </w:pPr>
      <w:bookmarkStart w:colFirst="0" w:colLast="0" w:name="_r335q8tplysh" w:id="5"/>
      <w:bookmarkEnd w:id="5"/>
      <w:r w:rsidDel="00000000" w:rsidR="00000000" w:rsidRPr="00000000">
        <w:rPr>
          <w:b w:val="1"/>
          <w:rtl w:val="0"/>
        </w:rPr>
        <w:t xml:space="preserve">3. Total amount disbursed</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rtl w:val="0"/>
        </w:rPr>
        <w:t xml:space="preserve">Metric:</w:t>
      </w:r>
      <w:r w:rsidDel="00000000" w:rsidR="00000000" w:rsidRPr="00000000">
        <w:rPr>
          <w:rtl w:val="0"/>
        </w:rPr>
        <w:t xml:space="preserve"> Total disbursed amount (USD) over time.</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Views: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By fund</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By region</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By country</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By segment (sector)</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rtl w:val="0"/>
        </w:rPr>
        <w:t xml:space="preserve">Filters:</w:t>
      </w:r>
      <w:r w:rsidDel="00000000" w:rsidR="00000000" w:rsidRPr="00000000">
        <w:rPr>
          <w:rtl w:val="0"/>
        </w:rPr>
        <w:t xml:space="preserve"> Date range (monthly, quarterly, year, or custom)</w:t>
      </w:r>
    </w:p>
    <w:p w:rsidR="00000000" w:rsidDel="00000000" w:rsidP="00000000" w:rsidRDefault="00000000" w:rsidRPr="00000000" w14:paraId="0000001E">
      <w:pPr>
        <w:pStyle w:val="Heading2"/>
        <w:spacing w:after="240" w:before="240" w:lineRule="auto"/>
        <w:rPr>
          <w:b w:val="1"/>
        </w:rPr>
      </w:pPr>
      <w:bookmarkStart w:colFirst="0" w:colLast="0" w:name="_sa3rqpigfarl" w:id="6"/>
      <w:bookmarkEnd w:id="6"/>
      <w:r w:rsidDel="00000000" w:rsidR="00000000" w:rsidRPr="00000000">
        <w:rPr>
          <w:b w:val="1"/>
          <w:rtl w:val="0"/>
        </w:rPr>
        <w:t xml:space="preserve">4. Fund metrics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rtl w:val="0"/>
        </w:rPr>
        <w:t xml:space="preserve">Metrics to display:</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Number of borrowers (active, exited, total since inception)</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Number of loans (active, closed, total since inception)</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Number of countries (active, total since inception)</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Holding period (by borrower)</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Outstanding maturity (by fund)</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Loan size (by fund)</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Valuation evolution (by borrower, over time)</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Coupon (interest rate) ranges (e.g., &lt;12%, 12–14%, &gt;14%), by borrower, country, region, segment, and fund</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rtl w:val="0"/>
        </w:rPr>
        <w:t xml:space="preserve">Filters:</w:t>
      </w:r>
      <w:r w:rsidDel="00000000" w:rsidR="00000000" w:rsidRPr="00000000">
        <w:rPr>
          <w:rtl w:val="0"/>
        </w:rPr>
        <w:t xml:space="preserve"> Date range</w:t>
      </w:r>
    </w:p>
    <w:p w:rsidR="00000000" w:rsidDel="00000000" w:rsidP="00000000" w:rsidRDefault="00000000" w:rsidRPr="00000000" w14:paraId="00000029">
      <w:pPr>
        <w:pStyle w:val="Heading2"/>
        <w:spacing w:after="240" w:before="240" w:lineRule="auto"/>
        <w:rPr>
          <w:b w:val="1"/>
        </w:rPr>
      </w:pPr>
      <w:bookmarkStart w:colFirst="0" w:colLast="0" w:name="_mrx5nh8rc8gf" w:id="7"/>
      <w:bookmarkEnd w:id="7"/>
      <w:r w:rsidDel="00000000" w:rsidR="00000000" w:rsidRPr="00000000">
        <w:rPr>
          <w:b w:val="1"/>
          <w:rtl w:val="0"/>
        </w:rPr>
        <w:t xml:space="preserve">5. Concentration limits by fund</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Check if fund exposure aligns with specific limits.</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rtl w:val="0"/>
        </w:rPr>
        <w:t xml:space="preserve">Views:</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By fund (BOF, RSTCF, Aggregate)</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tl w:val="0"/>
        </w:rPr>
        <w:t xml:space="preserve">Specific limits to check:</w:t>
      </w:r>
    </w:p>
    <w:p w:rsidR="00000000" w:rsidDel="00000000" w:rsidP="00000000" w:rsidRDefault="00000000" w:rsidRPr="00000000" w14:paraId="0000002E">
      <w:pPr>
        <w:numPr>
          <w:ilvl w:val="2"/>
          <w:numId w:val="7"/>
        </w:numPr>
        <w:spacing w:after="0" w:afterAutospacing="0" w:before="0" w:beforeAutospacing="0" w:lineRule="auto"/>
        <w:ind w:left="2160" w:hanging="360"/>
      </w:pPr>
      <w:r w:rsidDel="00000000" w:rsidR="00000000" w:rsidRPr="00000000">
        <w:rPr>
          <w:rtl w:val="0"/>
        </w:rPr>
        <w:t xml:space="preserve">Fund: BOF - Limits</w:t>
      </w:r>
    </w:p>
    <w:p w:rsidR="00000000" w:rsidDel="00000000" w:rsidP="00000000" w:rsidRDefault="00000000" w:rsidRPr="00000000" w14:paraId="0000002F">
      <w:pPr>
        <w:numPr>
          <w:ilvl w:val="3"/>
          <w:numId w:val="7"/>
        </w:numPr>
        <w:spacing w:after="0" w:afterAutospacing="0" w:before="0" w:beforeAutospacing="0" w:lineRule="auto"/>
        <w:ind w:left="2880" w:hanging="360"/>
      </w:pPr>
      <w:r w:rsidDel="00000000" w:rsidR="00000000" w:rsidRPr="00000000">
        <w:rPr>
          <w:rtl w:val="0"/>
        </w:rPr>
        <w:t xml:space="preserve">Country - 30%</w:t>
      </w:r>
    </w:p>
    <w:p w:rsidR="00000000" w:rsidDel="00000000" w:rsidP="00000000" w:rsidRDefault="00000000" w:rsidRPr="00000000" w14:paraId="00000030">
      <w:pPr>
        <w:numPr>
          <w:ilvl w:val="3"/>
          <w:numId w:val="7"/>
        </w:numPr>
        <w:spacing w:after="0" w:afterAutospacing="0" w:before="0" w:beforeAutospacing="0" w:lineRule="auto"/>
        <w:ind w:left="2880" w:hanging="360"/>
      </w:pPr>
      <w:r w:rsidDel="00000000" w:rsidR="00000000" w:rsidRPr="00000000">
        <w:rPr>
          <w:rtl w:val="0"/>
        </w:rPr>
        <w:t xml:space="preserve">Issuer - 15%</w:t>
      </w:r>
    </w:p>
    <w:p w:rsidR="00000000" w:rsidDel="00000000" w:rsidP="00000000" w:rsidRDefault="00000000" w:rsidRPr="00000000" w14:paraId="00000031">
      <w:pPr>
        <w:numPr>
          <w:ilvl w:val="3"/>
          <w:numId w:val="7"/>
        </w:numPr>
        <w:spacing w:after="0" w:afterAutospacing="0" w:before="0" w:beforeAutospacing="0" w:lineRule="auto"/>
        <w:ind w:left="2880" w:hanging="360"/>
      </w:pPr>
      <w:r w:rsidDel="00000000" w:rsidR="00000000" w:rsidRPr="00000000">
        <w:rPr>
          <w:rtl w:val="0"/>
        </w:rPr>
        <w:t xml:space="preserve">Tenor &gt; 36 months - 15%</w:t>
      </w:r>
    </w:p>
    <w:p w:rsidR="00000000" w:rsidDel="00000000" w:rsidP="00000000" w:rsidRDefault="00000000" w:rsidRPr="00000000" w14:paraId="00000032">
      <w:pPr>
        <w:numPr>
          <w:ilvl w:val="2"/>
          <w:numId w:val="7"/>
        </w:numPr>
        <w:spacing w:after="0" w:afterAutospacing="0" w:before="0" w:beforeAutospacing="0" w:lineRule="auto"/>
        <w:ind w:left="2160" w:hanging="360"/>
      </w:pPr>
      <w:r w:rsidDel="00000000" w:rsidR="00000000" w:rsidRPr="00000000">
        <w:rPr>
          <w:rtl w:val="0"/>
        </w:rPr>
        <w:t xml:space="preserve">Fund: RSTCF - Limits</w:t>
      </w:r>
    </w:p>
    <w:p w:rsidR="00000000" w:rsidDel="00000000" w:rsidP="00000000" w:rsidRDefault="00000000" w:rsidRPr="00000000" w14:paraId="00000033">
      <w:pPr>
        <w:numPr>
          <w:ilvl w:val="3"/>
          <w:numId w:val="7"/>
        </w:numPr>
        <w:spacing w:after="0" w:afterAutospacing="0" w:before="0" w:beforeAutospacing="0" w:lineRule="auto"/>
        <w:ind w:left="2880" w:hanging="360"/>
      </w:pPr>
      <w:r w:rsidDel="00000000" w:rsidR="00000000" w:rsidRPr="00000000">
        <w:rPr>
          <w:rtl w:val="0"/>
        </w:rPr>
        <w:t xml:space="preserve">Region Africa - min 20%</w:t>
      </w:r>
    </w:p>
    <w:p w:rsidR="00000000" w:rsidDel="00000000" w:rsidP="00000000" w:rsidRDefault="00000000" w:rsidRPr="00000000" w14:paraId="00000034">
      <w:pPr>
        <w:numPr>
          <w:ilvl w:val="3"/>
          <w:numId w:val="7"/>
        </w:numPr>
        <w:spacing w:after="0" w:afterAutospacing="0" w:before="0" w:beforeAutospacing="0" w:lineRule="auto"/>
        <w:ind w:left="2880" w:hanging="360"/>
      </w:pPr>
      <w:r w:rsidDel="00000000" w:rsidR="00000000" w:rsidRPr="00000000">
        <w:rPr>
          <w:rtl w:val="0"/>
        </w:rPr>
        <w:t xml:space="preserve">Region LatAm - max 40%</w:t>
      </w:r>
    </w:p>
    <w:p w:rsidR="00000000" w:rsidDel="00000000" w:rsidP="00000000" w:rsidRDefault="00000000" w:rsidRPr="00000000" w14:paraId="00000035">
      <w:pPr>
        <w:numPr>
          <w:ilvl w:val="3"/>
          <w:numId w:val="7"/>
        </w:numPr>
        <w:spacing w:after="0" w:afterAutospacing="0" w:before="0" w:beforeAutospacing="0" w:lineRule="auto"/>
        <w:ind w:left="2880" w:hanging="360"/>
      </w:pPr>
      <w:r w:rsidDel="00000000" w:rsidR="00000000" w:rsidRPr="00000000">
        <w:rPr>
          <w:rtl w:val="0"/>
        </w:rPr>
        <w:t xml:space="preserve">Country IG - 25%</w:t>
      </w:r>
    </w:p>
    <w:p w:rsidR="00000000" w:rsidDel="00000000" w:rsidP="00000000" w:rsidRDefault="00000000" w:rsidRPr="00000000" w14:paraId="00000036">
      <w:pPr>
        <w:numPr>
          <w:ilvl w:val="3"/>
          <w:numId w:val="7"/>
        </w:numPr>
        <w:spacing w:after="0" w:afterAutospacing="0" w:before="0" w:beforeAutospacing="0" w:lineRule="auto"/>
        <w:ind w:left="2880" w:hanging="360"/>
      </w:pPr>
      <w:r w:rsidDel="00000000" w:rsidR="00000000" w:rsidRPr="00000000">
        <w:rPr>
          <w:rtl w:val="0"/>
        </w:rPr>
        <w:t xml:space="preserve">Country Non IG - 20%</w:t>
      </w:r>
    </w:p>
    <w:p w:rsidR="00000000" w:rsidDel="00000000" w:rsidP="00000000" w:rsidRDefault="00000000" w:rsidRPr="00000000" w14:paraId="00000037">
      <w:pPr>
        <w:numPr>
          <w:ilvl w:val="3"/>
          <w:numId w:val="7"/>
        </w:numPr>
        <w:spacing w:after="0" w:afterAutospacing="0" w:before="0" w:beforeAutospacing="0" w:lineRule="auto"/>
        <w:ind w:left="2880" w:hanging="360"/>
      </w:pPr>
      <w:r w:rsidDel="00000000" w:rsidR="00000000" w:rsidRPr="00000000">
        <w:rPr>
          <w:rtl w:val="0"/>
        </w:rPr>
        <w:t xml:space="preserve">Issuer rating 1-3 -10% + no more than 3</w:t>
      </w:r>
    </w:p>
    <w:p w:rsidR="00000000" w:rsidDel="00000000" w:rsidP="00000000" w:rsidRDefault="00000000" w:rsidRPr="00000000" w14:paraId="00000038">
      <w:pPr>
        <w:numPr>
          <w:ilvl w:val="3"/>
          <w:numId w:val="7"/>
        </w:numPr>
        <w:spacing w:after="0" w:afterAutospacing="0" w:before="0" w:beforeAutospacing="0" w:lineRule="auto"/>
        <w:ind w:left="2880" w:hanging="360"/>
      </w:pPr>
      <w:r w:rsidDel="00000000" w:rsidR="00000000" w:rsidRPr="00000000">
        <w:rPr>
          <w:rtl w:val="0"/>
        </w:rPr>
        <w:t xml:space="preserve">Issuer rating 4-5 - 7%</w:t>
      </w:r>
    </w:p>
    <w:p w:rsidR="00000000" w:rsidDel="00000000" w:rsidP="00000000" w:rsidRDefault="00000000" w:rsidRPr="00000000" w14:paraId="00000039">
      <w:pPr>
        <w:numPr>
          <w:ilvl w:val="3"/>
          <w:numId w:val="7"/>
        </w:numPr>
        <w:spacing w:after="0" w:afterAutospacing="0" w:before="0" w:beforeAutospacing="0" w:lineRule="auto"/>
        <w:ind w:left="2880" w:hanging="360"/>
      </w:pPr>
      <w:r w:rsidDel="00000000" w:rsidR="00000000" w:rsidRPr="00000000">
        <w:rPr>
          <w:rtl w:val="0"/>
        </w:rPr>
        <w:t xml:space="preserve">Issuer rating 6-8 - 2.5%</w:t>
      </w:r>
    </w:p>
    <w:p w:rsidR="00000000" w:rsidDel="00000000" w:rsidP="00000000" w:rsidRDefault="00000000" w:rsidRPr="00000000" w14:paraId="0000003A">
      <w:pPr>
        <w:numPr>
          <w:ilvl w:val="3"/>
          <w:numId w:val="7"/>
        </w:numPr>
        <w:spacing w:after="0" w:afterAutospacing="0" w:before="0" w:beforeAutospacing="0" w:lineRule="auto"/>
        <w:ind w:left="2880" w:hanging="360"/>
      </w:pPr>
      <w:r w:rsidDel="00000000" w:rsidR="00000000" w:rsidRPr="00000000">
        <w:rPr>
          <w:rtl w:val="0"/>
        </w:rPr>
        <w:t xml:space="preserve">Unsecured transactions - 20%</w:t>
      </w:r>
    </w:p>
    <w:p w:rsidR="00000000" w:rsidDel="00000000" w:rsidP="00000000" w:rsidRDefault="00000000" w:rsidRPr="00000000" w14:paraId="0000003B">
      <w:pPr>
        <w:numPr>
          <w:ilvl w:val="3"/>
          <w:numId w:val="7"/>
        </w:numPr>
        <w:spacing w:after="0" w:afterAutospacing="0" w:before="0" w:beforeAutospacing="0" w:lineRule="auto"/>
        <w:ind w:left="2880" w:hanging="360"/>
      </w:pPr>
      <w:r w:rsidDel="00000000" w:rsidR="00000000" w:rsidRPr="00000000">
        <w:rPr>
          <w:rtl w:val="0"/>
        </w:rPr>
        <w:t xml:space="preserve">Sector: Consumer finance - 25%</w:t>
      </w:r>
    </w:p>
    <w:p w:rsidR="00000000" w:rsidDel="00000000" w:rsidP="00000000" w:rsidRDefault="00000000" w:rsidRPr="00000000" w14:paraId="0000003C">
      <w:pPr>
        <w:numPr>
          <w:ilvl w:val="2"/>
          <w:numId w:val="7"/>
        </w:numPr>
        <w:spacing w:after="0" w:afterAutospacing="0" w:before="0" w:beforeAutospacing="0" w:lineRule="auto"/>
        <w:ind w:left="2160" w:hanging="360"/>
      </w:pPr>
      <w:r w:rsidDel="00000000" w:rsidR="00000000" w:rsidRPr="00000000">
        <w:rPr>
          <w:rtl w:val="0"/>
        </w:rPr>
        <w:t xml:space="preserve">Fund: Aggregate view (BOF + RSTCF)</w:t>
      </w:r>
    </w:p>
    <w:p w:rsidR="00000000" w:rsidDel="00000000" w:rsidP="00000000" w:rsidRDefault="00000000" w:rsidRPr="00000000" w14:paraId="0000003D">
      <w:pPr>
        <w:numPr>
          <w:ilvl w:val="3"/>
          <w:numId w:val="7"/>
        </w:numPr>
        <w:spacing w:after="0" w:afterAutospacing="0" w:before="0" w:beforeAutospacing="0" w:lineRule="auto"/>
        <w:ind w:left="2880" w:hanging="360"/>
      </w:pPr>
      <w:r w:rsidDel="00000000" w:rsidR="00000000" w:rsidRPr="00000000">
        <w:rPr>
          <w:rtl w:val="0"/>
        </w:rPr>
        <w:t xml:space="preserve">Country - 25%</w:t>
      </w:r>
    </w:p>
    <w:p w:rsidR="00000000" w:rsidDel="00000000" w:rsidP="00000000" w:rsidRDefault="00000000" w:rsidRPr="00000000" w14:paraId="0000003E">
      <w:pPr>
        <w:numPr>
          <w:ilvl w:val="3"/>
          <w:numId w:val="7"/>
        </w:numPr>
        <w:spacing w:after="0" w:afterAutospacing="0" w:before="0" w:beforeAutospacing="0" w:lineRule="auto"/>
        <w:ind w:left="2880" w:hanging="360"/>
      </w:pPr>
      <w:r w:rsidDel="00000000" w:rsidR="00000000" w:rsidRPr="00000000">
        <w:rPr>
          <w:rtl w:val="0"/>
        </w:rPr>
        <w:t xml:space="preserve">Issuer - 10%</w:t>
        <w:br w:type="textWrapping"/>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b w:val="1"/>
          <w:rtl w:val="0"/>
        </w:rPr>
        <w:t xml:space="preserve">Filters:</w:t>
      </w:r>
      <w:r w:rsidDel="00000000" w:rsidR="00000000" w:rsidRPr="00000000">
        <w:rPr>
          <w:rtl w:val="0"/>
        </w:rPr>
        <w:t xml:space="preserve"> As of date.</w:t>
      </w:r>
    </w:p>
    <w:p w:rsidR="00000000" w:rsidDel="00000000" w:rsidP="00000000" w:rsidRDefault="00000000" w:rsidRPr="00000000" w14:paraId="00000040">
      <w:pPr>
        <w:pStyle w:val="Heading2"/>
        <w:keepNext w:val="0"/>
        <w:keepLines w:val="0"/>
        <w:spacing w:before="280" w:lineRule="auto"/>
        <w:rPr>
          <w:b w:val="1"/>
        </w:rPr>
      </w:pPr>
      <w:bookmarkStart w:colFirst="0" w:colLast="0" w:name="_qoixgnpylvkl" w:id="8"/>
      <w:bookmarkEnd w:id="8"/>
      <w:r w:rsidDel="00000000" w:rsidR="00000000" w:rsidRPr="00000000">
        <w:rPr>
          <w:b w:val="1"/>
          <w:rtl w:val="0"/>
        </w:rPr>
        <w:t xml:space="preserve">Technical and design requirements</w:t>
      </w:r>
    </w:p>
    <w:p w:rsidR="00000000" w:rsidDel="00000000" w:rsidP="00000000" w:rsidRDefault="00000000" w:rsidRPr="00000000" w14:paraId="00000041">
      <w:pPr>
        <w:spacing w:after="240" w:before="240" w:lineRule="auto"/>
        <w:rPr/>
      </w:pPr>
      <w:r w:rsidDel="00000000" w:rsidR="00000000" w:rsidRPr="00000000">
        <w:rPr>
          <w:rtl w:val="0"/>
        </w:rPr>
        <w:t xml:space="preserve">Ensure </w:t>
      </w:r>
      <w:r w:rsidDel="00000000" w:rsidR="00000000" w:rsidRPr="00000000">
        <w:rPr>
          <w:rtl w:val="0"/>
        </w:rPr>
        <w:t xml:space="preserve">interactivity. U</w:t>
      </w:r>
      <w:r w:rsidDel="00000000" w:rsidR="00000000" w:rsidRPr="00000000">
        <w:rPr>
          <w:rtl w:val="0"/>
        </w:rPr>
        <w:t xml:space="preserve">sers must be able to drill down and filter across all major dimensions:</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Fund</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Region</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Sector</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Borrower</w:t>
      </w:r>
    </w:p>
    <w:p w:rsidR="00000000" w:rsidDel="00000000" w:rsidP="00000000" w:rsidRDefault="00000000" w:rsidRPr="00000000" w14:paraId="00000048">
      <w:pPr>
        <w:spacing w:after="240" w:before="240" w:lineRule="auto"/>
        <w:rPr/>
      </w:pPr>
      <w:r w:rsidDel="00000000" w:rsidR="00000000" w:rsidRPr="00000000">
        <w:rPr>
          <w:rtl w:val="0"/>
        </w:rPr>
        <w:t xml:space="preserve">Prioritise clear visualisations. e.g.: stacked bar charts, trend lines, pie charts, and tables with conditional formatting.</w:t>
      </w:r>
    </w:p>
    <w:p w:rsidR="00000000" w:rsidDel="00000000" w:rsidP="00000000" w:rsidRDefault="00000000" w:rsidRPr="00000000" w14:paraId="00000049">
      <w:pPr>
        <w:spacing w:after="240" w:before="240" w:lineRule="auto"/>
        <w:rPr/>
      </w:pPr>
      <w:r w:rsidDel="00000000" w:rsidR="00000000" w:rsidRPr="00000000">
        <w:rPr>
          <w:rtl w:val="0"/>
        </w:rPr>
        <w:t xml:space="preserve">Where applicable, flag limit breaches. e.g.: highlight in red when country or issuer exposures exceed set limits.</w:t>
      </w:r>
    </w:p>
    <w:p w:rsidR="00000000" w:rsidDel="00000000" w:rsidP="00000000" w:rsidRDefault="00000000" w:rsidRPr="00000000" w14:paraId="0000004A">
      <w:pPr>
        <w:spacing w:after="240" w:before="240" w:lineRule="auto"/>
        <w:rPr/>
      </w:pPr>
      <w:r w:rsidDel="00000000" w:rsidR="00000000" w:rsidRPr="00000000">
        <w:rPr>
          <w:rtl w:val="0"/>
        </w:rPr>
        <w:t xml:space="preserve">Design for scalability. Allow easy addition of new funds, segments, or metrics in the future.</w:t>
      </w:r>
    </w:p>
    <w:p w:rsidR="00000000" w:rsidDel="00000000" w:rsidP="00000000" w:rsidRDefault="00000000" w:rsidRPr="00000000" w14:paraId="0000004B">
      <w:pPr>
        <w:spacing w:after="240" w:before="240" w:lineRule="auto"/>
        <w:rPr/>
      </w:pPr>
      <w:r w:rsidDel="00000000" w:rsidR="00000000" w:rsidRPr="00000000">
        <w:rPr>
          <w:rtl w:val="0"/>
        </w:rPr>
        <w:t xml:space="preserve">Include documentation or tooltips. Explain how key metrics are calculated (e.g. fair value, principal balance, coupon categories).</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e4o5x32q7fjw" w:id="9"/>
      <w:bookmarkEnd w:id="9"/>
      <w:r w:rsidDel="00000000" w:rsidR="00000000" w:rsidRPr="00000000">
        <w:rPr>
          <w:b w:val="1"/>
          <w:color w:val="000000"/>
          <w:sz w:val="26"/>
          <w:szCs w:val="26"/>
          <w:rtl w:val="0"/>
        </w:rPr>
        <w:t xml:space="preserve">Data sources</w:t>
      </w:r>
    </w:p>
    <w:p w:rsidR="00000000" w:rsidDel="00000000" w:rsidP="00000000" w:rsidRDefault="00000000" w:rsidRPr="00000000" w14:paraId="0000004D">
      <w:pPr>
        <w:numPr>
          <w:ilvl w:val="0"/>
          <w:numId w:val="6"/>
        </w:numPr>
        <w:spacing w:after="0" w:afterAutospacing="0" w:before="240" w:lineRule="auto"/>
        <w:ind w:left="720" w:hanging="360"/>
        <w:rPr/>
      </w:pPr>
      <w:r w:rsidDel="00000000" w:rsidR="00000000" w:rsidRPr="00000000">
        <w:rPr>
          <w:rtl w:val="0"/>
        </w:rPr>
        <w:t xml:space="preserve">Data_Portfolio.xlsx </w:t>
      </w:r>
    </w:p>
    <w:p w:rsidR="00000000" w:rsidDel="00000000" w:rsidP="00000000" w:rsidRDefault="00000000" w:rsidRPr="00000000" w14:paraId="0000004E">
      <w:pPr>
        <w:numPr>
          <w:ilvl w:val="0"/>
          <w:numId w:val="6"/>
        </w:numPr>
        <w:spacing w:after="0" w:afterAutospacing="0" w:before="0" w:beforeAutospacing="0" w:lineRule="auto"/>
        <w:ind w:left="720" w:hanging="360"/>
        <w:rPr/>
      </w:pPr>
      <w:r w:rsidDel="00000000" w:rsidR="00000000" w:rsidRPr="00000000">
        <w:rPr>
          <w:rtl w:val="0"/>
        </w:rPr>
        <w:t xml:space="preserve">Data_Coupon.xlsx </w:t>
      </w:r>
    </w:p>
    <w:p w:rsidR="00000000" w:rsidDel="00000000" w:rsidP="00000000" w:rsidRDefault="00000000" w:rsidRPr="00000000" w14:paraId="0000004F">
      <w:pPr>
        <w:numPr>
          <w:ilvl w:val="0"/>
          <w:numId w:val="6"/>
        </w:numPr>
        <w:spacing w:after="0" w:afterAutospacing="0" w:before="0" w:beforeAutospacing="0" w:lineRule="auto"/>
        <w:ind w:left="720" w:hanging="360"/>
        <w:rPr/>
      </w:pPr>
      <w:r w:rsidDel="00000000" w:rsidR="00000000" w:rsidRPr="00000000">
        <w:rPr>
          <w:rtl w:val="0"/>
        </w:rPr>
        <w:t xml:space="preserve">Borrower_identifiers.xlsx</w:t>
      </w:r>
    </w:p>
    <w:p w:rsidR="00000000" w:rsidDel="00000000" w:rsidP="00000000" w:rsidRDefault="00000000" w:rsidRPr="00000000" w14:paraId="00000050">
      <w:pPr>
        <w:numPr>
          <w:ilvl w:val="0"/>
          <w:numId w:val="6"/>
        </w:numPr>
        <w:spacing w:after="240" w:before="0" w:beforeAutospacing="0" w:lineRule="auto"/>
        <w:ind w:left="720" w:hanging="360"/>
        <w:rPr/>
      </w:pPr>
      <w:r w:rsidDel="00000000" w:rsidR="00000000" w:rsidRPr="00000000">
        <w:rPr>
          <w:rtl w:val="0"/>
        </w:rPr>
        <w:t xml:space="preserve">Data_Valuation.xlsx</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7kbq57njvi61" w:id="10"/>
      <w:bookmarkEnd w:id="10"/>
      <w:r w:rsidDel="00000000" w:rsidR="00000000" w:rsidRPr="00000000">
        <w:rPr>
          <w:b w:val="1"/>
          <w:color w:val="000000"/>
          <w:sz w:val="26"/>
          <w:szCs w:val="26"/>
          <w:rtl w:val="0"/>
        </w:rPr>
        <w:t xml:space="preserve">Expected output</w:t>
      </w:r>
    </w:p>
    <w:p w:rsidR="00000000" w:rsidDel="00000000" w:rsidP="00000000" w:rsidRDefault="00000000" w:rsidRPr="00000000" w14:paraId="00000052">
      <w:pPr>
        <w:spacing w:after="240" w:before="240" w:lineRule="auto"/>
        <w:rPr/>
      </w:pPr>
      <w:r w:rsidDel="00000000" w:rsidR="00000000" w:rsidRPr="00000000">
        <w:rPr>
          <w:rtl w:val="0"/>
        </w:rPr>
        <w:t xml:space="preserve">A fully functional Tableau dashboard  that covers all the above components, with interactivity, filters, and clear visual storytelling.</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rFonts w:ascii="Montserrat" w:cs="Montserrat" w:eastAsia="Montserrat" w:hAnsi="Montserrat"/>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color w:val="434343"/>
      <w:sz w:val="28"/>
      <w:szCs w:val="28"/>
    </w:rPr>
  </w:style>
  <w:style w:type="paragraph" w:styleId="Heading4">
    <w:name w:val="heading 4"/>
    <w:basedOn w:val="Normal"/>
    <w:next w:val="Normal"/>
    <w:pPr>
      <w:keepNext w:val="1"/>
      <w:keepLines w:val="1"/>
    </w:pPr>
    <w:rPr>
      <w:rFonts w:ascii="Montserrat" w:cs="Montserrat" w:eastAsia="Montserrat" w:hAnsi="Montserrat"/>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