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A1628"/>
          <w:sz w:val="64"/>
          <w:szCs w:val="64"/>
        </w:rPr>
        <w:t xml:space="preserve">ANNEX IV</w:t>
      </w:r>
    </w:p>
    <w:p>
      <w:pPr>
        <w:spacing w:after="80"/>
        <w:jc w:val="center"/>
      </w:pPr>
      <w:r>
        <w:rPr>
          <w:rFonts w:ascii="Arial" w:cs="Arial" w:eastAsia="Arial" w:hAnsi="Arial"/>
          <w:b/>
          <w:bCs/>
          <w:color w:val="0B5FA5"/>
          <w:sz w:val="40"/>
          <w:szCs w:val="40"/>
        </w:rPr>
        <w:t xml:space="preserve">TECHNICAL DOCUMENTATION</w:t>
      </w:r>
    </w:p>
    <w:p>
      <w:pPr>
        <w:spacing w:after="80"/>
        <w:jc w:val="center"/>
      </w:pPr>
      <w:r>
        <w:rPr>
          <w:rFonts w:ascii="Arial" w:cs="Arial" w:eastAsia="Arial" w:hAnsi="Arial"/>
          <w:color w:val="64748B"/>
          <w:sz w:val="22"/>
          <w:szCs w:val="22"/>
        </w:rPr>
        <w:t xml:space="preserve">Regulation (EU) 2024/1689 — EU Artificial Intelligence Act</w:t>
      </w:r>
    </w:p>
    <w:p>
      <w:pPr>
        <w:spacing w:before="200" w:after="80"/>
        <w:jc w:val="center"/>
      </w:pPr>
      <w:r>
        <w:rPr>
          <w:rFonts w:ascii="Arial" w:cs="Arial" w:eastAsia="Arial" w:hAnsi="Arial"/>
          <w:color w:val="D1DCE8"/>
          <w:sz w:val="20"/>
          <w:szCs w:val="20"/>
        </w:rPr>
        <w:t xml:space="preserve">────────────────────────────────</w:t>
      </w:r>
    </w:p>
    <w:p>
      <w:pPr>
        <w:spacing w:after="80"/>
        <w:jc w:val="center"/>
      </w:pPr>
      <w:r>
        <w:rPr>
          <w:rFonts w:ascii="Arial" w:cs="Arial" w:eastAsia="Arial" w:hAnsi="Arial"/>
          <w:color w:val="64748B"/>
          <w:sz w:val="18"/>
          <w:szCs w:val="18"/>
        </w:rPr>
        <w:t xml:space="preserve">Generated by: 9DA™ Conformity Engine v4</w:t>
      </w:r>
    </w:p>
    <w:p>
      <w:pPr>
        <w:spacing w:after="80"/>
        <w:jc w:val="center"/>
      </w:pPr>
      <w:r>
        <w:rPr>
          <w:rFonts w:ascii="Arial" w:cs="Arial" w:eastAsia="Arial" w:hAnsi="Arial"/>
          <w:color w:val="64748B"/>
          <w:sz w:val="18"/>
          <w:szCs w:val="18"/>
        </w:rPr>
        <w:t xml:space="preserve">github.com/9DAtm/9DA  ·  9da.org  ·  Apache-2.0</w:t>
      </w:r>
    </w:p>
    <w:p>
      <w:pPr>
        <w:spacing w:before="400" w:after="80"/>
        <w:jc w:val="center"/>
      </w:pPr>
      <w:r>
        <w:rPr>
          <w:rFonts w:ascii="Arial" w:cs="Arial" w:eastAsia="Arial" w:hAnsi="Arial"/>
          <w:b/>
          <w:bCs/>
          <w:color w:val="0A1628"/>
          <w:sz w:val="22"/>
          <w:szCs w:val="22"/>
        </w:rPr>
        <w:t xml:space="preserve">PROVIDER INFORMATION</w:t>
      </w:r>
    </w:p>
    <w:p>
      <w:pPr>
        <w:spacing w:after="40"/>
      </w:pPr>
      <w:r>
        <w:rPr>
          <w:rFonts w:ascii="Arial" w:cs="Arial" w:eastAsia="Arial" w:hAnsi="Arial"/>
          <w:i/>
          <w:iCs/>
          <w:color w:val="64748B"/>
          <w:sz w:val="18"/>
          <w:szCs w:val="18"/>
        </w:rPr>
        <w:t xml:space="preserve">Legal name of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[Full legal entity name]</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Registered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[Street, City, Country, Postal Code]</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EU Authorised Representative (if non-EU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[Name and address per Art 22]</w:t>
            </w:r>
          </w:p>
        </w:tc>
      </w:tr>
    </w:tbl>
    <w:p>
      <w:pPr>
        <w:spacing w:after="80"/>
      </w:pPr>
      <w:r>
        <w:rPr>
          <w:rFonts w:ascii="Arial" w:cs="Arial" w:eastAsia="Arial" w:hAnsi="Arial"/>
          <w:sz w:val="20"/>
          <w:szCs w:val="20"/>
        </w:rPr>
        <w:t xml:space="preserve"/>
      </w:r>
    </w:p>
    <w:tbl>
      <w:tblPr>
        <w:tblW w:type="dxa" w:w="9360"/>
        <w:tblBorders>
          <w:top w:val="none"/>
          <w:left w:val="none"/>
          <w:bottom w:val="none"/>
          <w:right w:val="none"/>
          <w:insideH w:val="single" w:color="auto" w:sz="4"/>
          <w:insideV w:val="single" w:color="auto" w:sz="4"/>
        </w:tblBorders>
      </w:tblPr>
      <w:tblGrid>
        <w:gridCol w:w="4860"/>
        <w:gridCol w:w="4860"/>
      </w:tblGrid>
      <w:tr>
        <w:tc>
          <w:tcPr>
            <w:tcW w:type="dxa" w:w="4860"/>
            <w:tcBorders>
              <w:top w:val="none"/>
              <w:left w:val="none"/>
              <w:bottom w:val="none"/>
              <w:right w:val="none"/>
            </w:tcBorders>
          </w:tcPr>
          <w:p>
            <w:pPr>
              <w:spacing w:after="120"/>
            </w:pPr>
            <w:r>
              <w:rPr>
                <w:rFonts w:ascii="Arial" w:cs="Arial" w:eastAsia="Arial" w:hAnsi="Arial"/>
                <w:b/>
                <w:bCs/>
                <w:sz w:val="20"/>
                <w:szCs w:val="20"/>
              </w:rPr>
              <w:t xml:space="preserve">Document reference:</w:t>
            </w:r>
          </w:p>
        </w:tc>
        <w:tc>
          <w:tcPr>
            <w:tcW w:type="dxa" w:w="4860"/>
            <w:tcBorders>
              <w:top w:val="none"/>
              <w:left w:val="none"/>
              <w:bottom w:val="none"/>
              <w:right w:val="none"/>
            </w:tcBorders>
          </w:tcPr>
          <w:p>
            <w:pPr>
              <w:spacing w:after="120"/>
            </w:pPr>
            <w:r>
              <w:rPr>
                <w:rFonts w:ascii="Arial" w:cs="Arial" w:eastAsia="Arial" w:hAnsi="Arial"/>
                <w:color w:val="888888"/>
                <w:sz w:val="20"/>
                <w:szCs w:val="20"/>
              </w:rPr>
              <w:t xml:space="preserve">[_______________________________]</w:t>
            </w:r>
          </w:p>
        </w:tc>
      </w:tr>
    </w:tbl>
    <w:tbl>
      <w:tblPr>
        <w:tblW w:type="dxa" w:w="9360"/>
        <w:tblBorders>
          <w:top w:val="none"/>
          <w:left w:val="none"/>
          <w:bottom w:val="none"/>
          <w:right w:val="none"/>
          <w:insideH w:val="single" w:color="auto" w:sz="4"/>
          <w:insideV w:val="single" w:color="auto" w:sz="4"/>
        </w:tblBorders>
      </w:tblPr>
      <w:tblGrid>
        <w:gridCol w:w="4860"/>
        <w:gridCol w:w="4860"/>
      </w:tblGrid>
      <w:tr>
        <w:tc>
          <w:tcPr>
            <w:tcW w:type="dxa" w:w="4860"/>
            <w:tcBorders>
              <w:top w:val="none"/>
              <w:left w:val="none"/>
              <w:bottom w:val="none"/>
              <w:right w:val="none"/>
            </w:tcBorders>
          </w:tcPr>
          <w:p>
            <w:pPr>
              <w:spacing w:after="120"/>
            </w:pPr>
            <w:r>
              <w:rPr>
                <w:rFonts w:ascii="Arial" w:cs="Arial" w:eastAsia="Arial" w:hAnsi="Arial"/>
                <w:b/>
                <w:bCs/>
                <w:sz w:val="20"/>
                <w:szCs w:val="20"/>
              </w:rPr>
              <w:t xml:space="preserve">Version:</w:t>
            </w:r>
          </w:p>
        </w:tc>
        <w:tc>
          <w:tcPr>
            <w:tcW w:type="dxa" w:w="4860"/>
            <w:tcBorders>
              <w:top w:val="none"/>
              <w:left w:val="none"/>
              <w:bottom w:val="none"/>
              <w:right w:val="none"/>
            </w:tcBorders>
          </w:tcPr>
          <w:p>
            <w:pPr>
              <w:spacing w:after="120"/>
            </w:pPr>
            <w:r>
              <w:rPr>
                <w:rFonts w:ascii="Arial" w:cs="Arial" w:eastAsia="Arial" w:hAnsi="Arial"/>
                <w:color w:val="888888"/>
                <w:sz w:val="20"/>
                <w:szCs w:val="20"/>
              </w:rPr>
              <w:t xml:space="preserve">[_______________________________]</w:t>
            </w:r>
          </w:p>
        </w:tc>
      </w:tr>
    </w:tbl>
    <w:tbl>
      <w:tblPr>
        <w:tblW w:type="dxa" w:w="9360"/>
        <w:tblBorders>
          <w:top w:val="none"/>
          <w:left w:val="none"/>
          <w:bottom w:val="none"/>
          <w:right w:val="none"/>
          <w:insideH w:val="single" w:color="auto" w:sz="4"/>
          <w:insideV w:val="single" w:color="auto" w:sz="4"/>
        </w:tblBorders>
      </w:tblPr>
      <w:tblGrid>
        <w:gridCol w:w="4860"/>
        <w:gridCol w:w="4860"/>
      </w:tblGrid>
      <w:tr>
        <w:tc>
          <w:tcPr>
            <w:tcW w:type="dxa" w:w="4860"/>
            <w:tcBorders>
              <w:top w:val="none"/>
              <w:left w:val="none"/>
              <w:bottom w:val="none"/>
              <w:right w:val="none"/>
            </w:tcBorders>
          </w:tcPr>
          <w:p>
            <w:pPr>
              <w:spacing w:after="120"/>
            </w:pPr>
            <w:r>
              <w:rPr>
                <w:rFonts w:ascii="Arial" w:cs="Arial" w:eastAsia="Arial" w:hAnsi="Arial"/>
                <w:b/>
                <w:bCs/>
                <w:sz w:val="20"/>
                <w:szCs w:val="20"/>
              </w:rPr>
              <w:t xml:space="preserve">Date of issue:</w:t>
            </w:r>
          </w:p>
        </w:tc>
        <w:tc>
          <w:tcPr>
            <w:tcW w:type="dxa" w:w="4860"/>
            <w:tcBorders>
              <w:top w:val="none"/>
              <w:left w:val="none"/>
              <w:bottom w:val="none"/>
              <w:right w:val="none"/>
            </w:tcBorders>
          </w:tcPr>
          <w:p>
            <w:pPr>
              <w:spacing w:after="120"/>
            </w:pPr>
            <w:r>
              <w:rPr>
                <w:rFonts w:ascii="Arial" w:cs="Arial" w:eastAsia="Arial" w:hAnsi="Arial"/>
                <w:color w:val="888888"/>
                <w:sz w:val="20"/>
                <w:szCs w:val="20"/>
              </w:rPr>
              <w:t xml:space="preserve">[_______________________________]</w:t>
            </w:r>
          </w:p>
        </w:tc>
      </w:tr>
    </w:tbl>
    <w:tbl>
      <w:tblPr>
        <w:tblW w:type="dxa" w:w="9360"/>
        <w:tblBorders>
          <w:top w:val="none"/>
          <w:left w:val="none"/>
          <w:bottom w:val="none"/>
          <w:right w:val="none"/>
          <w:insideH w:val="single" w:color="auto" w:sz="4"/>
          <w:insideV w:val="single" w:color="auto" w:sz="4"/>
        </w:tblBorders>
      </w:tblPr>
      <w:tblGrid>
        <w:gridCol w:w="4860"/>
        <w:gridCol w:w="4860"/>
      </w:tblGrid>
      <w:tr>
        <w:tc>
          <w:tcPr>
            <w:tcW w:type="dxa" w:w="4860"/>
            <w:tcBorders>
              <w:top w:val="none"/>
              <w:left w:val="none"/>
              <w:bottom w:val="none"/>
              <w:right w:val="none"/>
            </w:tcBorders>
          </w:tcPr>
          <w:p>
            <w:pPr>
              <w:spacing w:after="120"/>
            </w:pPr>
            <w:r>
              <w:rPr>
                <w:rFonts w:ascii="Arial" w:cs="Arial" w:eastAsia="Arial" w:hAnsi="Arial"/>
                <w:b/>
                <w:bCs/>
                <w:sz w:val="20"/>
                <w:szCs w:val="20"/>
              </w:rPr>
              <w:t xml:space="preserve">Enforcement date:</w:t>
            </w:r>
          </w:p>
        </w:tc>
        <w:tc>
          <w:tcPr>
            <w:tcW w:type="dxa" w:w="4860"/>
            <w:tcBorders>
              <w:top w:val="none"/>
              <w:left w:val="none"/>
              <w:bottom w:val="none"/>
              <w:right w:val="none"/>
            </w:tcBorders>
          </w:tcPr>
          <w:p>
            <w:pPr>
              <w:spacing w:after="120"/>
            </w:pPr>
            <w:r>
              <w:rPr>
                <w:rFonts w:ascii="Arial" w:cs="Arial" w:eastAsia="Arial" w:hAnsi="Arial"/>
                <w:color w:val="888888"/>
                <w:sz w:val="20"/>
                <w:szCs w:val="20"/>
              </w:rPr>
              <w:t xml:space="preserve">[_______________________________]</w:t>
            </w:r>
          </w:p>
        </w:tc>
      </w:tr>
    </w:tbl>
    <w:p>
      <w:pPr>
        <w:spacing w:before="240" w:after="120"/>
      </w:pPr>
      <w:r>
        <w:rPr>
          <w:rFonts w:ascii="Arial" w:cs="Arial" w:hAnsi="Arial"/>
          <w:b/>
          <w:sz w:val="22"/>
          <w:szCs w:val="22"/>
          <w:color w:val="0B5FA5"/>
        </w:rPr>
        <w:t>Document Version History</w:t>
      </w:r>
    </w:p>
    <w:tbl>
      <w:tblPr>
        <w:tblW w:type="dxa" w:w="9360"/>
        <w:tblBorders>
          <w:top w:val="single" w:sz="4" w:color="CBD5E1"/>
          <w:left w:val="none"/>
          <w:bottom w:val="single" w:sz="4" w:color="CBD5E1"/>
          <w:right w:val="none"/>
          <w:insideH w:val="single" w:sz="4" w:color="CBD5E1"/>
          <w:insideV w:val="none"/>
        </w:tblBorders>
        <w:tblCellMar>
          <w:top w:type="dxa" w:w="80"/>
          <w:left w:type="dxa" w:w="120"/>
          <w:bottom w:type="dxa" w:w="80"/>
          <w:right w:type="dxa" w:w="120"/>
        </w:tblCellMar>
      </w:tblPr>
      <w:tblGrid>
        <w:gridCol w:w="1560"/>
        <w:gridCol w:w="1560"/>
        <w:gridCol w:w="2340"/>
        <w:gridCol w:w="3900"/>
      </w:tblGrid>
      <w:tr>
        <w:trPr>
          <w:tblHeader/>
        </w:trPr>
        <w:tc>
          <w:tcPr>
            <w:tcW w:type="dxa" w:w="1560"/>
            <w:shd w:val="clear" w:color="auto" w:fill="0B5FA5"/>
          </w:tcPr>
          <w:p>
            <w:r>
              <w:rPr>
                <w:rFonts w:ascii="Arial" w:hAnsi="Arial"/>
                <w:b/>
                <w:sz w:val="18"/>
                <w:color w:val="FFFFFF"/>
              </w:rPr>
              <w:t>Date</w:t>
            </w:r>
          </w:p>
        </w:tc>
        <w:tc>
          <w:tcPr>
            <w:tcW w:type="dxa" w:w="1560"/>
            <w:shd w:val="clear" w:color="auto" w:fill="0B5FA5"/>
          </w:tcPr>
          <w:p>
            <w:r>
              <w:rPr>
                <w:rFonts w:ascii="Arial" w:hAnsi="Arial"/>
                <w:b/>
                <w:sz w:val="18"/>
                <w:color w:val="FFFFFF"/>
              </w:rPr>
              <w:t>Version</w:t>
            </w:r>
          </w:p>
        </w:tc>
        <w:tc>
          <w:tcPr>
            <w:tcW w:type="dxa" w:w="2340"/>
            <w:shd w:val="clear" w:color="auto" w:fill="0B5FA5"/>
          </w:tcPr>
          <w:p>
            <w:r>
              <w:rPr>
                <w:rFonts w:ascii="Arial" w:hAnsi="Arial"/>
                <w:b/>
                <w:sz w:val="18"/>
                <w:color w:val="FFFFFF"/>
              </w:rPr>
              <w:t>Author</w:t>
            </w:r>
          </w:p>
        </w:tc>
        <w:tc>
          <w:tcPr>
            <w:tcW w:type="dxa" w:w="3900"/>
            <w:shd w:val="clear" w:color="auto" w:fill="0B5FA5"/>
          </w:tcPr>
          <w:p>
            <w:r>
              <w:rPr>
                <w:rFonts w:ascii="Arial" w:hAnsi="Arial"/>
                <w:b/>
                <w:sz w:val="18"/>
                <w:color w:val="FFFFFF"/>
              </w:rPr>
              <w:t>Change</w:t>
            </w:r>
          </w:p>
        </w:tc>
      </w:tr>
      <w:tr>
        <w:tc>
          <w:tcPr>
            <w:tcW w:type="dxa" w:w="1560"/>
          </w:tcPr>
          <w:p>
            <w:r>
              <w:rPr>
                <w:rFonts w:ascii="Arial" w:hAnsi="Arial"/>
                <w:sz w:val="18"/>
                <w:color w:val="64748B"/>
              </w:rPr>
              <w:t>[Date]</w:t>
            </w:r>
          </w:p>
        </w:tc>
        <w:tc>
          <w:tcPr>
            <w:tcW w:type="dxa" w:w="1560"/>
          </w:tcPr>
          <w:p>
            <w:r>
              <w:rPr>
                <w:rFonts w:ascii="Arial" w:hAnsi="Arial"/>
                <w:sz w:val="18"/>
                <w:color w:val="64748B"/>
              </w:rPr>
              <w:t>1.0</w:t>
            </w:r>
          </w:p>
        </w:tc>
        <w:tc>
          <w:tcPr>
            <w:tcW w:type="dxa" w:w="2340"/>
          </w:tcPr>
          <w:p>
            <w:r>
              <w:rPr>
                <w:rFonts w:ascii="Arial" w:hAnsi="Arial"/>
                <w:sz w:val="18"/>
                <w:color w:val="64748B"/>
              </w:rPr>
              <w:t>[Author name]</w:t>
            </w:r>
          </w:p>
        </w:tc>
        <w:tc>
          <w:tcPr>
            <w:tcW w:type="dxa" w:w="3900"/>
          </w:tcPr>
          <w:p>
            <w:r>
              <w:rPr>
                <w:rFonts w:ascii="Arial" w:hAnsi="Arial"/>
                <w:sz w:val="18"/>
                <w:color w:val="64748B"/>
              </w:rPr>
              <w:t>Initial draft</w:t>
            </w:r>
          </w:p>
        </w:tc>
      </w:tr>
      <w:tr>
        <w:tc>
          <w:tcPr>
            <w:tcW w:type="dxa" w:w="1560"/>
            <w:shd w:val="clear" w:color="auto" w:fill="F8FAFC"/>
          </w:tcPr>
          <w:p>
            <w:r>
              <w:rPr>
                <w:rFonts w:ascii="Arial" w:hAnsi="Arial"/>
                <w:sz w:val="18"/>
                <w:color w:val="64748B"/>
              </w:rPr>
              <w:t>[Date]</w:t>
            </w:r>
          </w:p>
        </w:tc>
        <w:tc>
          <w:tcPr>
            <w:tcW w:type="dxa" w:w="1560"/>
            <w:shd w:val="clear" w:color="auto" w:fill="F8FAFC"/>
          </w:tcPr>
          <w:p>
            <w:r>
              <w:rPr>
                <w:rFonts w:ascii="Arial" w:hAnsi="Arial"/>
                <w:sz w:val="18"/>
                <w:color w:val="64748B"/>
              </w:rPr>
              <w:t>1.1</w:t>
            </w:r>
          </w:p>
        </w:tc>
        <w:tc>
          <w:tcPr>
            <w:tcW w:type="dxa" w:w="2340"/>
            <w:shd w:val="clear" w:color="auto" w:fill="F8FAFC"/>
          </w:tcPr>
          <w:p>
            <w:r>
              <w:rPr>
                <w:rFonts w:ascii="Arial" w:hAnsi="Arial"/>
                <w:sz w:val="18"/>
                <w:color w:val="64748B"/>
              </w:rPr>
              <w:t>[Author name]</w:t>
            </w:r>
          </w:p>
        </w:tc>
        <w:tc>
          <w:tcPr>
            <w:tcW w:type="dxa" w:w="3900"/>
            <w:shd w:val="clear" w:color="auto" w:fill="F8FAFC"/>
          </w:tcPr>
          <w:p>
            <w:r>
              <w:rPr>
                <w:rFonts w:ascii="Arial" w:hAnsi="Arial"/>
                <w:sz w:val="18"/>
                <w:color w:val="64748B"/>
              </w:rPr>
              <w:t>[Description of change]</w:t>
            </w:r>
          </w:p>
        </w:tc>
      </w:tr>
      <w:tr>
        <w:tc>
          <w:tcPr>
            <w:tcW w:type="dxa" w:w="1560"/>
          </w:tcPr>
          <w:p>
            <w:r>
              <w:rPr>
                <w:rFonts w:ascii="Arial" w:hAnsi="Arial"/>
                <w:sz w:val="18"/>
                <w:color w:val="64748B"/>
              </w:rPr>
              <w:t>[Date]</w:t>
            </w:r>
          </w:p>
        </w:tc>
        <w:tc>
          <w:tcPr>
            <w:tcW w:type="dxa" w:w="1560"/>
          </w:tcPr>
          <w:p>
            <w:r>
              <w:rPr>
                <w:rFonts w:ascii="Arial" w:hAnsi="Arial"/>
                <w:sz w:val="18"/>
                <w:color w:val="64748B"/>
              </w:rPr>
              <w:t>1.2</w:t>
            </w:r>
          </w:p>
        </w:tc>
        <w:tc>
          <w:tcPr>
            <w:tcW w:type="dxa" w:w="2340"/>
          </w:tcPr>
          <w:p>
            <w:r>
              <w:rPr>
                <w:rFonts w:ascii="Arial" w:hAnsi="Arial"/>
                <w:sz w:val="18"/>
                <w:color w:val="64748B"/>
              </w:rPr>
              <w:t>[Author name]</w:t>
            </w:r>
          </w:p>
        </w:tc>
        <w:tc>
          <w:tcPr>
            <w:tcW w:type="dxa" w:w="3900"/>
          </w:tcPr>
          <w:p>
            <w:r>
              <w:rPr>
                <w:rFonts w:ascii="Arial" w:hAnsi="Arial"/>
                <w:sz w:val="18"/>
                <w:color w:val="64748B"/>
              </w:rPr>
              <w:t>[Description of change]</w:t>
            </w:r>
          </w:p>
        </w:tc>
      </w:tr>
    </w:tbl>
    <w:p>
      <w:pPr>
        <w:spacing w:before="120" w:after="120"/>
      </w:pP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1. AI System Identity (Annex IV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Required by Article 11. All identifiers must be unique and persistent across the system lifecycle.</w:t>
            </w:r>
          </w:p>
        </w:tc>
      </w:tr>
    </w:tbl>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1.1 General Identification</w:t>
      </w:r>
    </w:p>
    <w:p>
      <w:pPr>
        <w:spacing w:after="40"/>
      </w:pPr>
      <w:r>
        <w:rPr>
          <w:rFonts w:ascii="Arial" w:cs="Arial" w:eastAsia="Arial" w:hAnsi="Arial"/>
          <w:i/>
          <w:iCs/>
          <w:color w:val="64748B"/>
          <w:sz w:val="18"/>
          <w:szCs w:val="18"/>
        </w:rPr>
        <w:t xml:space="preserve">AI system name / trade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Version number and release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Intended purpose (as defined in Art 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Use case category (Annex III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[E.g., Annex III 5(a) — medical devices; 4(a) — employment]</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Risk classification (Prohibited / High-Risk / Limited /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1.2 Technical Identifiers</w:t>
      </w:r>
    </w:p>
    <w:p>
      <w:pPr>
        <w:spacing w:after="40"/>
      </w:pPr>
      <w:r>
        <w:rPr>
          <w:rFonts w:ascii="Arial" w:cs="Arial" w:eastAsia="Arial" w:hAnsi="Arial"/>
          <w:i/>
          <w:iCs/>
          <w:color w:val="64748B"/>
          <w:sz w:val="18"/>
          <w:szCs w:val="18"/>
        </w:rPr>
        <w:t xml:space="preserve">Model identifier(s) — including all versions assessed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Software version identifier (hash or semantic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Hardware dependencies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Operating environment (cloud / on-premise /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1.3 9DA™ Conformity Report Reference</w:t>
      </w:r>
    </w:p>
    <w:p>
      <w:pPr>
        <w:spacing w:after="40"/>
      </w:pPr>
      <w:r>
        <w:rPr>
          <w:rFonts w:ascii="Arial" w:cs="Arial" w:eastAsia="Arial" w:hAnsi="Arial"/>
          <w:i/>
          <w:iCs/>
          <w:color w:val="64748B"/>
          <w:sz w:val="18"/>
          <w:szCs w:val="18"/>
        </w:rPr>
        <w:t xml:space="preserve">9DA™ Report ID (SHA-256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[E.g., 9DA-CE-c0c7474536836a15]</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Assessment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Engine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[E.g., conformity_engine_v4.py v4.0.0]</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Seed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[E.g., seed=42]</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2. Risk Management System (Art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Article 9 requires a documented risk management system throughout the AI system lifecycle. The risk register must be updated continuously.</w:t>
            </w:r>
          </w:p>
        </w:tc>
      </w:tr>
    </w:tbl>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2.1 Risk Register</w:t>
      </w:r>
    </w:p>
    <w:p>
      <w:pPr>
        <w:spacing w:after="40"/>
      </w:pPr>
      <w:r>
        <w:rPr>
          <w:rFonts w:ascii="Arial" w:cs="Arial" w:eastAsia="Arial" w:hAnsi="Arial"/>
          <w:i/>
          <w:iCs/>
          <w:color w:val="64748B"/>
          <w:sz w:val="18"/>
          <w:szCs w:val="18"/>
        </w:rPr>
        <w:t xml:space="preserve">Risk identification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List of identified risks (minimum required categories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Risk Category</w:t>
            </w:r>
          </w:p>
        </w:tc>
        <w:tc>
          <w:tcPr>
            <w:tcW w:type="dxa" w:w="25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Description</w:t>
            </w:r>
          </w:p>
        </w:tc>
        <w:tc>
          <w:tcPr>
            <w:tcW w:type="dxa" w:w="20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Severity (H/M/L)</w:t>
            </w:r>
          </w:p>
        </w:tc>
        <w:tc>
          <w:tcPr>
            <w:tcW w:type="dxa" w:w="236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Mitigation Measure</w:t>
            </w:r>
          </w:p>
        </w:tc>
      </w:tr>
      <w:tr>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Accuracy &amp; Performance</w:t>
            </w:r>
          </w:p>
        </w:tc>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Model accuracy degradation in deployment</w:t>
            </w:r>
          </w:p>
        </w:tc>
        <w:tc>
          <w:tcPr>
            <w:tcW w:type="dxa" w:w="20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Bias &amp; Discrimination</w:t>
            </w:r>
          </w:p>
        </w:tc>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Discriminatory outputs for protected groups</w:t>
            </w:r>
          </w:p>
        </w:tc>
        <w:tc>
          <w:tcPr>
            <w:tcW w:type="dxa" w:w="20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Data Quality</w:t>
            </w:r>
          </w:p>
        </w:tc>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Training data bias, coverage gaps</w:t>
            </w:r>
          </w:p>
        </w:tc>
        <w:tc>
          <w:tcPr>
            <w:tcW w:type="dxa" w:w="20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Cybersecurity</w:t>
            </w:r>
          </w:p>
        </w:tc>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Adversarial attacks, model inversion</w:t>
            </w:r>
          </w:p>
        </w:tc>
        <w:tc>
          <w:tcPr>
            <w:tcW w:type="dxa" w:w="20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Privacy</w:t>
            </w:r>
          </w:p>
        </w:tc>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Inference attacks, data leakage</w:t>
            </w:r>
          </w:p>
        </w:tc>
        <w:tc>
          <w:tcPr>
            <w:tcW w:type="dxa" w:w="20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Human Oversight Failure</w:t>
            </w:r>
          </w:p>
        </w:tc>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Automation bias, override delay</w:t>
            </w:r>
          </w:p>
        </w:tc>
        <w:tc>
          <w:tcPr>
            <w:tcW w:type="dxa" w:w="20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Post-Market Drift</w:t>
            </w:r>
          </w:p>
        </w:tc>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Distribution shift after deployment</w:t>
            </w:r>
          </w:p>
        </w:tc>
        <w:tc>
          <w:tcPr>
            <w:tcW w:type="dxa" w:w="20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Repurposing / Misuse</w:t>
            </w:r>
          </w:p>
        </w:tc>
        <w:tc>
          <w:tcPr>
            <w:tcW w:type="dxa" w:w="25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222222"/>
                <w:sz w:val="18"/>
                <w:szCs w:val="18"/>
              </w:rPr>
              <w:t xml:space="preserve">Use outside intended scope</w:t>
            </w:r>
          </w:p>
        </w:tc>
        <w:tc>
          <w:tcPr>
            <w:tcW w:type="dxa" w:w="200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8FAFC"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r>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222222"/>
                <w:sz w:val="18"/>
                <w:szCs w:val="18"/>
              </w:rPr>
              <w:t xml:space="preserve">[Additional risk]</w:t>
            </w:r>
          </w:p>
        </w:tc>
        <w:tc>
          <w:tcPr>
            <w:tcW w:type="dxa" w:w="25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00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c>
          <w:tcPr>
            <w:tcW w:type="dxa" w:w="2360"/>
            <w:tcBorders>
              <w:top w:val="single" w:color="D1DCE8" w:sz="4"/>
              <w:left w:val="single" w:color="D1DCE8" w:sz="4"/>
              <w:bottom w:val="single" w:color="D1DCE8" w:sz="4"/>
              <w:right w:val="single" w:color="D1DCE8" w:sz="4"/>
            </w:tcBorders>
            <w:shd w:fill="FFFFFF" w:val="clear"/>
            <w:tcMar>
              <w:top w:type="dxa" w:w="60"/>
              <w:left w:type="dxa" w:w="80"/>
              <w:bottom w:type="dxa" w:w="60"/>
              <w:right w:type="dxa" w:w="80"/>
            </w:tcMar>
          </w:tcPr>
          <w:p>
            <w:pPr>
              <w:spacing w:after="120"/>
            </w:pPr>
            <w:r>
              <w:rPr>
                <w:rFonts w:ascii="Arial" w:cs="Arial" w:eastAsia="Arial" w:hAnsi="Arial"/>
                <w:color w:val="CCCCCC"/>
                <w:sz w:val="18"/>
                <w:szCs w:val="18"/>
              </w:rPr>
              <w:t xml:space="preserve">                              </w:t>
            </w:r>
          </w:p>
        </w:tc>
      </w:tr>
    </w:tbl>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2.2 Risk Assessment Results</w:t>
      </w:r>
    </w:p>
    <w:p>
      <w:pPr>
        <w:spacing w:after="40"/>
      </w:pPr>
      <w:r>
        <w:rPr>
          <w:rFonts w:ascii="Arial" w:cs="Arial" w:eastAsia="Arial" w:hAnsi="Arial"/>
          <w:i/>
          <w:iCs/>
          <w:color w:val="64748B"/>
          <w:sz w:val="18"/>
          <w:szCs w:val="18"/>
        </w:rPr>
        <w:t xml:space="preserve">Overall residual risk level after mitigation (acceptable / not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Justification for acceptable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3. Data Governance (Art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Article 10(2)(f) explicitly requires examination of possible biases and appropriate mitigation measures. Incomplete documentation here triggers Contradiction C5 (FAIRNESS_ALIGNMENT_GAP) in the 9DA™ engine.</w:t>
            </w:r>
          </w:p>
        </w:tc>
      </w:tr>
    </w:tbl>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3.1 Training Data</w:t>
      </w:r>
    </w:p>
    <w:p>
      <w:pPr>
        <w:spacing w:after="40"/>
      </w:pPr>
      <w:r>
        <w:rPr>
          <w:rFonts w:ascii="Arial" w:cs="Arial" w:eastAsia="Arial" w:hAnsi="Arial"/>
          <w:i/>
          <w:iCs/>
          <w:color w:val="64748B"/>
          <w:sz w:val="18"/>
          <w:szCs w:val="18"/>
        </w:rPr>
        <w:t xml:space="preserve">Source(s) of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Data collection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Relevant characteristics: size, geographic scope, demographic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Data annotations: methodology, inter-annotator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Known limitations and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3.2 Bias Assessment (Art 10(2)(f)) — MANDATORY</w:t>
      </w:r>
    </w:p>
    <w:p>
      <w:pPr>
        <w:spacing w:after="40"/>
      </w:pPr>
      <w:r>
        <w:rPr>
          <w:rFonts w:ascii="Arial" w:cs="Arial" w:eastAsia="Arial" w:hAnsi="Arial"/>
          <w:i/>
          <w:iCs/>
          <w:color w:val="64748B"/>
          <w:sz w:val="18"/>
          <w:szCs w:val="18"/>
        </w:rPr>
        <w:t xml:space="preserve">Protected attributes examined (e.g., sex, race, age, disability, religion, nationality)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Bias testing methodology and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Quantitative bias metrics (e.g., demographic parity, equalised odds)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Bias findings and mitigations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Residual bias level and justification for acceptability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3.3 Validation and Test Data</w:t>
      </w:r>
    </w:p>
    <w:p>
      <w:pPr>
        <w:spacing w:after="40"/>
      </w:pPr>
      <w:r>
        <w:rPr>
          <w:rFonts w:ascii="Arial" w:cs="Arial" w:eastAsia="Arial" w:hAnsi="Arial"/>
          <w:i/>
          <w:iCs/>
          <w:color w:val="64748B"/>
          <w:sz w:val="18"/>
          <w:szCs w:val="18"/>
        </w:rPr>
        <w:t xml:space="preserve">Validation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Test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Independence of test data from training data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4. System Architecture &amp; Technical Specifications (Art 11, Annex IV §3)</w:t>
      </w:r>
    </w:p>
    <w:p>
      <w:pPr>
        <w:pStyle w:val="Heading2"/>
        <w:spacing w:before="300" w:after="140"/>
      </w:pPr>
      <w:r>
        <w:rPr>
          <w:rFonts w:ascii="Arial" w:cs="Arial" w:eastAsia="Arial" w:hAnsi="Arial"/>
          <w:b/>
          <w:bCs/>
          <w:color w:val="0B5FA5"/>
          <w:sz w:val="26"/>
          <w:szCs w:val="26"/>
        </w:rPr>
        <w:t xml:space="preserve">4.1 System Architecture</w:t>
      </w:r>
    </w:p>
    <w:p>
      <w:pPr>
        <w:spacing w:after="40"/>
      </w:pPr>
      <w:r>
        <w:rPr>
          <w:rFonts w:ascii="Arial" w:cs="Arial" w:eastAsia="Arial" w:hAnsi="Arial"/>
          <w:i/>
          <w:iCs/>
          <w:color w:val="64748B"/>
          <w:sz w:val="18"/>
          <w:szCs w:val="18"/>
        </w:rPr>
        <w:t xml:space="preserve">High-level architecture diagram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Component description (preprocessing, model, postprocessing,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Hardware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Third-party components, APIs,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4.2 Model Specification</w:t>
      </w:r>
    </w:p>
    <w:p>
      <w:pPr>
        <w:spacing w:after="40"/>
      </w:pPr>
      <w:r>
        <w:rPr>
          <w:rFonts w:ascii="Arial" w:cs="Arial" w:eastAsia="Arial" w:hAnsi="Arial"/>
          <w:i/>
          <w:iCs/>
          <w:color w:val="64748B"/>
          <w:sz w:val="18"/>
          <w:szCs w:val="18"/>
        </w:rPr>
        <w:t xml:space="preserve">Model type (e.g., neural network, decision tree,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Model architecture (e.g., transformer, CNN,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Training objective and 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Hyperparameters and optimisation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Performance metrics on test data (precision, recall, F1, AUC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5. Human Oversight (Art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Article 14 requires that high-risk AI systems be designed so that natural persons can effectively oversee them. Oversight latency &gt; 60 seconds for life-critical decisions triggers Contradiction C1 (AUTONOMY_DOMINANCE).</w:t>
            </w:r>
          </w:p>
        </w:tc>
      </w:tr>
    </w:tbl>
    <w:p>
      <w:pPr>
        <w:pStyle w:val="Heading2"/>
        <w:spacing w:before="300" w:after="140"/>
      </w:pPr>
      <w:r>
        <w:rPr>
          <w:rFonts w:ascii="Arial" w:cs="Arial" w:eastAsia="Arial" w:hAnsi="Arial"/>
          <w:b/>
          <w:bCs/>
          <w:color w:val="0B5FA5"/>
          <w:sz w:val="26"/>
          <w:szCs w:val="26"/>
        </w:rPr>
        <w:t xml:space="preserve">5.1 Oversight Mechanisms</w:t>
      </w:r>
    </w:p>
    <w:p>
      <w:pPr>
        <w:spacing w:after="40"/>
      </w:pPr>
      <w:r>
        <w:rPr>
          <w:rFonts w:ascii="Arial" w:cs="Arial" w:eastAsia="Arial" w:hAnsi="Arial"/>
          <w:i/>
          <w:iCs/>
          <w:color w:val="64748B"/>
          <w:sz w:val="18"/>
          <w:szCs w:val="18"/>
        </w:rPr>
        <w:t xml:space="preserve">Human oversight implementation (describe how humans can understand, monitor and intervene)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Override capability: mechanism for disabling or overriding AI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Oversight latency: maximum time from AI output to human review capability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Qualified personnel: role and minimum qualifications for human overseers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5.2 Automation Limits</w:t>
      </w:r>
    </w:p>
    <w:p>
      <w:pPr>
        <w:spacing w:after="40"/>
      </w:pPr>
      <w:r>
        <w:rPr>
          <w:rFonts w:ascii="Arial" w:cs="Arial" w:eastAsia="Arial" w:hAnsi="Arial"/>
          <w:i/>
          <w:iCs/>
          <w:color w:val="64748B"/>
          <w:sz w:val="18"/>
          <w:szCs w:val="18"/>
        </w:rPr>
        <w:t xml:space="preserve">Decisions that MUST involve human review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Decisions that may proceed without human review (list) with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6. Accuracy, Robustness &amp; Cybersecurity (Art 15)</w:t>
      </w:r>
    </w:p>
    <w:p>
      <w:pPr>
        <w:pStyle w:val="Heading2"/>
        <w:spacing w:before="300" w:after="140"/>
      </w:pPr>
      <w:r>
        <w:rPr>
          <w:rFonts w:ascii="Arial" w:cs="Arial" w:eastAsia="Arial" w:hAnsi="Arial"/>
          <w:b/>
          <w:bCs/>
          <w:color w:val="0B5FA5"/>
          <w:sz w:val="26"/>
          <w:szCs w:val="26"/>
        </w:rPr>
        <w:t xml:space="preserve">6.1 Accuracy Testing</w:t>
      </w:r>
    </w:p>
    <w:p>
      <w:pPr>
        <w:spacing w:after="40"/>
      </w:pPr>
      <w:r>
        <w:rPr>
          <w:rFonts w:ascii="Arial" w:cs="Arial" w:eastAsia="Arial" w:hAnsi="Arial"/>
          <w:i/>
          <w:iCs/>
          <w:color w:val="64748B"/>
          <w:sz w:val="18"/>
          <w:szCs w:val="18"/>
        </w:rPr>
        <w:t xml:space="preserve">Accuracy metrics: values on held-out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Performance across subgroups (disaggregated metrics per protected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Performance under distribution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6.2 Adversarial Robustness Testing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Art 15 requires testing for cybersecurity threats including adversarial attacks. Absence triggers Contradiction C2 (SAFETY_ROBUSTNESS_DIVERGENCE).</w:t>
            </w:r>
          </w:p>
        </w:tc>
      </w:tr>
    </w:tbl>
    <w:p>
      <w:pPr>
        <w:spacing w:after="40"/>
      </w:pPr>
      <w:r>
        <w:rPr>
          <w:rFonts w:ascii="Arial" w:cs="Arial" w:eastAsia="Arial" w:hAnsi="Arial"/>
          <w:i/>
          <w:iCs/>
          <w:color w:val="64748B"/>
          <w:sz w:val="18"/>
          <w:szCs w:val="18"/>
        </w:rPr>
        <w:t xml:space="preserve">Adversarial testing methodology (e.g., FGSM, PGD, query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Robustness metrics: accuracy under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Cybersecurity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Penetration testing results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7. Logging &amp; Quality Management (Arts 12, 17)</w:t>
      </w:r>
    </w:p>
    <w:p>
      <w:pPr>
        <w:pStyle w:val="Heading2"/>
        <w:spacing w:before="300" w:after="140"/>
      </w:pPr>
      <w:r>
        <w:rPr>
          <w:rFonts w:ascii="Arial" w:cs="Arial" w:eastAsia="Arial" w:hAnsi="Arial"/>
          <w:b/>
          <w:bCs/>
          <w:color w:val="0B5FA5"/>
          <w:sz w:val="26"/>
          <w:szCs w:val="26"/>
        </w:rPr>
        <w:t xml:space="preserve">7.1 Automatic Logging (Art 12)</w:t>
      </w:r>
    </w:p>
    <w:p>
      <w:pPr>
        <w:spacing w:after="40"/>
      </w:pPr>
      <w:r>
        <w:rPr>
          <w:rFonts w:ascii="Arial" w:cs="Arial" w:eastAsia="Arial" w:hAnsi="Arial"/>
          <w:i/>
          <w:iCs/>
          <w:color w:val="64748B"/>
          <w:sz w:val="18"/>
          <w:szCs w:val="18"/>
        </w:rPr>
        <w:t xml:space="preserve">Log format and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Events logged (minimum: input, output, timestamp, operator ID,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Access control for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Log completeness verification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7.2 Quality Management System (Art 17)</w:t>
      </w:r>
    </w:p>
    <w:p>
      <w:pPr>
        <w:spacing w:after="40"/>
      </w:pPr>
      <w:r>
        <w:rPr>
          <w:rFonts w:ascii="Arial" w:cs="Arial" w:eastAsia="Arial" w:hAnsi="Arial"/>
          <w:i/>
          <w:iCs/>
          <w:color w:val="64748B"/>
          <w:sz w:val="18"/>
          <w:szCs w:val="18"/>
        </w:rPr>
        <w:t xml:space="preserve">QMS standard adopted (e.g., ISO 42001, ISO 9001)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QMS scope and certification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Document control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Internal audit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8. Post-Market Monitoring (Art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Article 72 requires an active post-market monitoring plan from date of market placement. Absence triggers Contradiction C4 (EMERGENCE_UNMONITORED) in the 9DA™ engine.</w:t>
            </w:r>
          </w:p>
        </w:tc>
      </w:tr>
    </w:tbl>
    <w:p>
      <w:pPr>
        <w:pStyle w:val="Heading2"/>
        <w:spacing w:before="300" w:after="140"/>
      </w:pPr>
      <w:r>
        <w:rPr>
          <w:rFonts w:ascii="Arial" w:cs="Arial" w:eastAsia="Arial" w:hAnsi="Arial"/>
          <w:b/>
          <w:bCs/>
          <w:color w:val="0B5FA5"/>
          <w:sz w:val="26"/>
          <w:szCs w:val="26"/>
        </w:rPr>
        <w:t xml:space="preserve">8.1 Monitoring Plan</w:t>
      </w:r>
    </w:p>
    <w:p>
      <w:pPr>
        <w:spacing w:after="40"/>
      </w:pPr>
      <w:r>
        <w:rPr>
          <w:rFonts w:ascii="Arial" w:cs="Arial" w:eastAsia="Arial" w:hAnsi="Arial"/>
          <w:i/>
          <w:iCs/>
          <w:color w:val="64748B"/>
          <w:sz w:val="18"/>
          <w:szCs w:val="18"/>
        </w:rPr>
        <w:t xml:space="preserve">Monitoring objectives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Telemetry signals collected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Drift detection methodology: distribution shift, performance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Monitoring frequency (minimum: monthly for high-risk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Escalation procedure for detected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8.2 Incident Reporting (Art 73)</w:t>
      </w:r>
    </w:p>
    <w:p>
      <w:pPr>
        <w:spacing w:after="40"/>
      </w:pPr>
      <w:r>
        <w:rPr>
          <w:rFonts w:ascii="Arial" w:cs="Arial" w:eastAsia="Arial" w:hAnsi="Arial"/>
          <w:i/>
          <w:iCs/>
          <w:color w:val="64748B"/>
          <w:sz w:val="18"/>
          <w:szCs w:val="18"/>
        </w:rPr>
        <w:t xml:space="preserve">Serious incident definition for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Incident reporting procedure and national authority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Corrective action process (Art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9. Conformity Assessment Checklist (Art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Use this checklist in conjunction with your 9DA™ Conformity Report. The engine provides a quantitative assessment; this checklist provides the qualitative documentary record.</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600"/>
        <w:gridCol w:w="1600"/>
      </w:tblGrid>
      <w:tr>
        <w:trPr>
          <w:tblHeader/>
        </w:trPr>
        <w:tc>
          <w:tcPr>
            <w:tcW w:type="dxa" w:w="8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Article</w:t>
            </w:r>
          </w:p>
        </w:tc>
        <w:tc>
          <w:tcPr>
            <w:tcW w:type="dxa" w:w="536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Obligation</w:t>
            </w:r>
          </w:p>
        </w:tc>
        <w:tc>
          <w:tcPr>
            <w:tcW w:type="dxa" w:w="16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Status</w:t>
            </w:r>
          </w:p>
        </w:tc>
        <w:tc>
          <w:tcPr>
            <w:tcW w:type="dxa" w:w="1600"/>
            <w:tcBorders>
              <w:top w:val="single" w:color="D1DCE8" w:sz="4"/>
              <w:left w:val="single" w:color="D1DCE8" w:sz="4"/>
              <w:bottom w:val="single" w:color="D1DCE8" w:sz="4"/>
              <w:right w:val="single" w:color="D1DCE8" w:sz="4"/>
            </w:tcBorders>
            <w:shd w:fill="0A1628" w:val="clear"/>
            <w:tcMar>
              <w:top w:type="dxa" w:w="60"/>
              <w:left w:type="dxa" w:w="80"/>
              <w:bottom w:type="dxa" w:w="60"/>
              <w:right w:type="dxa" w:w="80"/>
            </w:tcMar>
          </w:tcPr>
          <w:p>
            <w:pPr>
              <w:spacing w:after="120"/>
            </w:pPr>
            <w:r>
              <w:rPr>
                <w:rFonts w:ascii="Arial" w:cs="Arial" w:eastAsia="Arial" w:hAnsi="Arial"/>
                <w:b/>
                <w:bCs/>
                <w:color w:val="FFFFFF"/>
                <w:sz w:val="18"/>
                <w:szCs w:val="18"/>
              </w:rPr>
              <w:t xml:space="preserve">Notes</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9</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Risk management system documented and operational</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10</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Data governance: bias assessment completed for all protected attributes</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10</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Training/validation/test data documented with known limitations</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11</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Technical documentation in Annex IV format, current version</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12</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Automatic logging operational and complete</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13</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Instructions for deployers provided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14</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Human oversight mechanism implemented and tested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14</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Override/disable capability operational</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15</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Accuracy metrics documented on held-out test data</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15</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Adversarial robustness testing completed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17</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Quality management system in place</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20</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Corrective action procedure documented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43</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Conformity assessment procedure completed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47</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EU Declaration of Conformity prepared</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r>
        <w:tc>
          <w:tcPr>
            <w:tcW w:type="dxa" w:w="800"/>
            <w:tcBorders>
              <w:top w:val="single" w:color="D1DCE8" w:sz="4"/>
              <w:left w:val="single" w:color="D1DCE8" w:sz="4"/>
              <w:bottom w:val="single" w:color="D1DCE8" w:sz="4"/>
              <w:right w:val="single" w:color="D1DCE8" w:sz="4"/>
            </w:tcBorders>
            <w:shd w:fill="EBF2FA" w:val="clear"/>
            <w:tcMar>
              <w:top w:type="dxa" w:w="60"/>
              <w:left w:type="dxa" w:w="80"/>
              <w:bottom w:type="dxa" w:w="60"/>
              <w:right w:type="dxa" w:w="80"/>
            </w:tcMar>
          </w:tcPr>
          <w:p>
            <w:pPr>
              <w:spacing w:after="120"/>
            </w:pPr>
            <w:r>
              <w:rPr>
                <w:rFonts w:ascii="Arial" w:cs="Arial" w:eastAsia="Arial" w:hAnsi="Arial"/>
                <w:b/>
                <w:bCs/>
                <w:sz w:val="18"/>
                <w:szCs w:val="18"/>
              </w:rPr>
              <w:t xml:space="preserve">Art 72</w:t>
            </w:r>
          </w:p>
        </w:tc>
        <w:tc>
          <w:tcPr>
            <w:tcW w:type="dxa" w:w="536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sz w:val="18"/>
                <w:szCs w:val="18"/>
              </w:rPr>
              <w:t xml:space="preserve">Post-market monitoring plan operational</w:t>
            </w:r>
          </w:p>
        </w:tc>
        <w:tc>
          <w:tcPr>
            <w:tcW w:type="dxa" w:w="1600"/>
            <w:tcBorders>
              <w:top w:val="single" w:color="D1DCE8" w:sz="4"/>
              <w:left w:val="single" w:color="D1DCE8" w:sz="4"/>
              <w:bottom w:val="single" w:color="D1DCE8" w:sz="4"/>
              <w:right w:val="single" w:color="D1DCE8" w:sz="4"/>
            </w:tcBorders>
            <w:shd w:fill="FFF3CD" w:val="clear"/>
            <w:tcMar>
              <w:top w:type="dxa" w:w="60"/>
              <w:left w:type="dxa" w:w="80"/>
              <w:bottom w:type="dxa" w:w="60"/>
              <w:right w:type="dxa" w:w="80"/>
            </w:tcMar>
          </w:tcPr>
          <w:p>
            <w:pPr>
              <w:spacing w:after="120"/>
            </w:pPr>
            <w:r>
              <w:rPr>
                <w:rFonts w:ascii="Arial" w:cs="Arial" w:eastAsia="Arial" w:hAnsi="Arial"/>
                <w:b/>
                <w:bCs/>
                <w:color w:val="B8860B"/>
                <w:sz w:val="16"/>
                <w:szCs w:val="16"/>
              </w:rPr>
              <w:t xml:space="preserve">MANDATORY</w:t>
            </w:r>
          </w:p>
        </w:tc>
        <w:tc>
          <w:tcPr>
            <w:tcW w:type="dxa" w:w="1600"/>
            <w:tcBorders>
              <w:top w:val="single" w:color="D1DCE8" w:sz="4"/>
              <w:left w:val="single" w:color="D1DCE8" w:sz="4"/>
              <w:bottom w:val="single" w:color="D1DCE8" w:sz="4"/>
              <w:right w:val="single" w:color="D1DCE8" w:sz="4"/>
            </w:tcBorders>
            <w:tcMar>
              <w:top w:type="dxa" w:w="60"/>
              <w:left w:type="dxa" w:w="80"/>
              <w:bottom w:type="dxa" w:w="60"/>
              <w:right w:type="dxa" w:w="80"/>
            </w:tcMar>
          </w:tcPr>
          <w:p>
            <w:pPr>
              <w:spacing w:after="120"/>
            </w:pPr>
            <w:r>
              <w:rPr>
                <w:rFonts w:ascii="Arial" w:cs="Arial" w:eastAsia="Arial" w:hAnsi="Arial"/>
                <w:color w:val="64748B"/>
                <w:sz w:val="16"/>
                <w:szCs w:val="16"/>
              </w:rPr>
              <w:t xml:space="preserve">☐ Complete  ☐ Partial  ☐ N/A</w:t>
            </w:r>
          </w:p>
        </w:tc>
      </w:tr>
    </w:tbl>
    <w:p>
      <w:pPr>
        <w:pageBreakBefore/>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10. EU Declaration of Conformity (Art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single" w:color="0B5FA5" w:sz="12"/>
              <w:bottom w:val="none"/>
              <w:right w:val="none"/>
            </w:tcBorders>
            <w:shd w:fill="EBF2FA" w:val="clear"/>
            <w:tcMar>
              <w:top w:type="dxa" w:w="60"/>
              <w:left w:type="dxa" w:w="60"/>
              <w:bottom w:type="dxa" w:w="60"/>
              <w:right w:type="dxa" w:w="60"/>
            </w:tcMar>
          </w:tcPr>
          <w:p>
            <w:r>
              <w:rPr>
                <w:rFonts w:ascii="Arial" w:cs="Arial" w:eastAsia="Arial" w:hAnsi="Arial"/>
                <w:b/>
                <w:bCs/>
                <w:color w:val="0B5FA5"/>
                <w:sz w:val="20"/>
                <w:szCs w:val="20"/>
              </w:rPr>
              <w:t xml:space="preserve">ℹ</w:t>
            </w:r>
          </w:p>
        </w:tc>
        <w:tc>
          <w:tcPr>
            <w:tcW w:type="dxa" w:w="8960"/>
            <w:tcBorders>
              <w:top w:val="none"/>
              <w:left w:val="none"/>
              <w:bottom w:val="none"/>
              <w:right w:val="none"/>
            </w:tcBorders>
            <w:shd w:fill="EBF2FA" w:val="clear"/>
            <w:tcMar>
              <w:top w:type="dxa" w:w="60"/>
              <w:left w:type="dxa" w:w="100"/>
              <w:bottom w:type="dxa" w:w="60"/>
              <w:right w:type="dxa" w:w="100"/>
            </w:tcMar>
          </w:tcPr>
          <w:p>
            <w:r>
              <w:rPr>
                <w:rFonts w:ascii="Arial" w:cs="Arial" w:eastAsia="Arial" w:hAnsi="Arial"/>
                <w:color w:val="64748B"/>
                <w:sz w:val="18"/>
                <w:szCs w:val="18"/>
              </w:rPr>
              <w:t xml:space="preserve">The EU DoC is a separate document signed by the provider or authorised representative. This section references it.</w:t>
            </w:r>
          </w:p>
        </w:tc>
      </w:tr>
    </w:tbl>
    <w:p>
      <w:pPr>
        <w:spacing w:after="40"/>
      </w:pPr>
      <w:r>
        <w:rPr>
          <w:rFonts w:ascii="Arial" w:cs="Arial" w:eastAsia="Arial" w:hAnsi="Arial"/>
          <w:i/>
          <w:iCs/>
          <w:color w:val="64748B"/>
          <w:sz w:val="18"/>
          <w:szCs w:val="18"/>
        </w:rPr>
        <w:t xml:space="preserve">EU DoC reference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EU DoC date of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Signatory name and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40"/>
      </w:pPr>
      <w:r>
        <w:rPr>
          <w:rFonts w:ascii="Arial" w:cs="Arial" w:eastAsia="Arial" w:hAnsi="Arial"/>
          <w:i/>
          <w:iCs/>
          <w:color w:val="64748B"/>
          <w:sz w:val="18"/>
          <w:szCs w:val="18"/>
        </w:rPr>
        <w:t xml:space="preserve">Notified body involvement (if applicable): name, NB number, certificate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E8" w:sz="4"/>
              <w:left w:val="single" w:color="D1DCE8" w:sz="4"/>
              <w:bottom w:val="single" w:color="D1DCE8" w:sz="4"/>
              <w:right w:val="single" w:color="D1DCE8" w:sz="4"/>
            </w:tcBorders>
            <w:shd w:fill="F8FAFC" w:val="clear"/>
            <w:tcMar>
              <w:top w:type="dxa" w:w="80"/>
              <w:left w:type="dxa" w:w="120"/>
              <w:bottom w:type="dxa" w:w="80"/>
              <w:right w:type="dxa" w:w="120"/>
            </w:tcMar>
          </w:tcPr>
          <w:p>
            <w:r>
              <w:rPr>
                <w:rFonts w:ascii="Arial" w:cs="Arial" w:eastAsia="Arial" w:hAnsi="Arial"/>
                <w:i/>
                <w:iCs/>
                <w:color w:val="AAAAAA"/>
                <w:sz w:val="20"/>
                <w:szCs w:val="20"/>
              </w:rPr>
              <w:t xml:space="preserve">[To be completed by provider]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300" w:after="140"/>
      </w:pPr>
      <w:r>
        <w:rPr>
          <w:rFonts w:ascii="Arial" w:cs="Arial" w:eastAsia="Arial" w:hAnsi="Arial"/>
          <w:b/>
          <w:bCs/>
          <w:color w:val="0B5FA5"/>
          <w:sz w:val="26"/>
          <w:szCs w:val="26"/>
        </w:rPr>
        <w:t xml:space="preserve">10.1 9DA™ Conformity Engine Assessment Reference</w:t>
      </w:r>
    </w:p>
    <w:p>
      <w:pPr>
        <w:spacing w:after="120"/>
      </w:pPr>
      <w:r>
        <w:rPr>
          <w:rFonts w:ascii="Arial" w:cs="Arial" w:eastAsia="Arial" w:hAnsi="Arial"/>
          <w:b/>
          <w:bCs/>
          <w:sz w:val="20"/>
          <w:szCs w:val="20"/>
        </w:rPr>
        <w:t xml:space="preserve">Instructions: </w:t>
      </w:r>
      <w:r>
        <w:rPr>
          <w:rFonts w:ascii="Arial" w:cs="Arial" w:eastAsia="Arial" w:hAnsi="Arial"/>
          <w:sz w:val="20"/>
          <w:szCs w:val="20"/>
        </w:rPr>
        <w:t xml:space="preserve">Run the 9DA™ Conformity Engine v4 against this documentation to generate a deterministic governance report. Attach the JSON export and PNG figure as technical annexes to this document.</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Engine command: </w:t>
      </w:r>
      <w:r>
        <w:rPr>
          <w:rFonts w:ascii="Courier New" w:cs="Courier New" w:eastAsia="Courier New" w:hAnsi="Courier New"/>
          <w:sz w:val="18"/>
          <w:szCs w:val="18"/>
        </w:rPr>
        <w:t xml:space="preserve">python conformity_engine_v4.py --input &lt;this_doc&gt;.json --export --plots</w:t>
      </w:r>
    </w:p>
    <w:p>
      <w:pPr>
        <w:spacing w:after="120"/>
      </w:pPr>
      <w:r>
        <w:rPr>
          <w:rFonts w:ascii="Arial" w:cs="Arial" w:eastAsia="Arial" w:hAnsi="Arial"/>
          <w:sz w:val="20"/>
          <w:szCs w:val="20"/>
        </w:rPr>
        <w:t xml:space="preserve">Repository: </w:t>
      </w:r>
      <w:r>
        <w:rPr>
          <w:rFonts w:ascii="Courier New" w:cs="Courier New" w:eastAsia="Courier New" w:hAnsi="Courier New"/>
          <w:color w:val="0B5FA5"/>
          <w:sz w:val="18"/>
          <w:szCs w:val="18"/>
        </w:rPr>
        <w:t xml:space="preserve">github.com/9DAtm/9DA</w:t>
      </w:r>
    </w:p>
    <w:p>
      <w:pPr>
        <w:spacing w:after="120"/>
      </w:pPr>
      <w:r>
        <w:rPr>
          <w:rFonts w:ascii="Arial" w:cs="Arial" w:eastAsia="Arial" w:hAnsi="Arial"/>
          <w:sz w:val="20"/>
          <w:szCs w:val="20"/>
        </w:rPr>
        <w:t xml:space="preserve"/>
      </w:r>
    </w:p>
    <w:p>
      <w:pPr>
        <w:pStyle w:val="Heading1"/>
        <w:spacing w:before="400" w:after="200"/>
      </w:pPr>
      <w:r>
        <w:rPr>
          <w:rFonts w:ascii="Arial" w:cs="Arial" w:eastAsia="Arial" w:hAnsi="Arial"/>
          <w:b/>
          <w:bCs/>
          <w:color w:val="0A1628"/>
          <w:sz w:val="32"/>
          <w:szCs w:val="32"/>
        </w:rPr>
        <w:t xml:space="preserve">11. Provider Signature</w:t>
      </w:r>
    </w:p>
    <w:p>
      <w:pPr>
        <w:spacing w:after="120"/>
      </w:pPr>
      <w:r>
        <w:rPr>
          <w:rFonts w:ascii="Arial" w:cs="Arial" w:eastAsia="Arial" w:hAnsi="Arial"/>
          <w:sz w:val="20"/>
          <w:szCs w:val="20"/>
        </w:rPr>
        <w:t xml:space="preserve">I hereby declare that this technical documentation is accurate and complete to the best of my knowledge, and that the AI system described herein has been assessed in accordance with Regulation (EU) 2024/1689.</w:t>
      </w:r>
    </w:p>
    <w:p>
      <w:pPr>
        <w:spacing w:after="120"/>
      </w:pPr>
      <w:r>
        <w:rPr>
          <w:rFonts w:ascii="Arial" w:cs="Arial" w:eastAsia="Arial" w:hAnsi="Arial"/>
          <w:sz w:val="20"/>
          <w:szCs w:val="20"/>
        </w:rP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Pr>
          <w:p>
            <w:pPr>
              <w:spacing w:after="120"/>
            </w:pPr>
            <w:r>
              <w:rPr>
                <w:rFonts w:ascii="Arial" w:cs="Arial" w:eastAsia="Arial" w:hAnsi="Arial"/>
                <w:b/>
                <w:bCs/>
                <w:sz w:val="20"/>
                <w:szCs w:val="20"/>
              </w:rPr>
              <w:t xml:space="preserve">Name: </w:t>
            </w:r>
          </w:p>
          <w:p>
            <w:pPr>
              <w:spacing w:after="120"/>
            </w:pPr>
            <w:r>
              <w:rPr>
                <w:rFonts w:ascii="Arial" w:cs="Arial" w:eastAsia="Arial" w:hAnsi="Arial"/>
                <w:b/>
                <w:bCs/>
                <w:sz w:val="20"/>
                <w:szCs w:val="20"/>
              </w:rPr>
              <w:t xml:space="preserve">Title: </w:t>
            </w:r>
          </w:p>
          <w:p>
            <w:pPr>
              <w:spacing w:after="120"/>
            </w:pPr>
            <w:r>
              <w:rPr>
                <w:rFonts w:ascii="Arial" w:cs="Arial" w:eastAsia="Arial" w:hAnsi="Arial"/>
                <w:b/>
                <w:bCs/>
                <w:sz w:val="20"/>
                <w:szCs w:val="20"/>
              </w:rPr>
              <w:t xml:space="preserve">Date: </w:t>
            </w:r>
          </w:p>
          <w:p>
            <w:pPr>
              <w:spacing w:after="120"/>
            </w:pPr>
            <w:r>
              <w:rPr>
                <w:rFonts w:ascii="Arial" w:cs="Arial" w:eastAsia="Arial" w:hAnsi="Arial"/>
                <w:b/>
                <w:bCs/>
                <w:sz w:val="20"/>
                <w:szCs w:val="20"/>
              </w:rPr>
              <w:t xml:space="preserve">Signature: </w:t>
            </w:r>
          </w:p>
        </w:tc>
        <w:tc>
          <w:tcPr>
            <w:tcW w:type="dxa" w:w="4860"/>
            <w:tcBorders>
              <w:top w:val="none"/>
              <w:left w:val="none"/>
              <w:bottom w:val="none"/>
              <w:right w:val="none"/>
            </w:tcBorders>
          </w:tcPr>
          <w:p>
            <w:pPr>
              <w:spacing w:after="120"/>
            </w:pPr>
            <w:r>
              <w:rPr>
                <w:rFonts w:ascii="Arial" w:cs="Arial" w:eastAsia="Arial" w:hAnsi="Arial"/>
                <w:sz w:val="20"/>
                <w:szCs w:val="20"/>
              </w:rPr>
              <w:t xml:space="preserve">_________________________________</w:t>
            </w:r>
          </w:p>
          <w:p>
            <w:pPr>
              <w:spacing w:after="120"/>
            </w:pPr>
            <w:r>
              <w:rPr>
                <w:rFonts w:ascii="Arial" w:cs="Arial" w:eastAsia="Arial" w:hAnsi="Arial"/>
                <w:sz w:val="20"/>
                <w:szCs w:val="20"/>
              </w:rPr>
              <w:t xml:space="preserve">_________________________________</w:t>
            </w:r>
          </w:p>
          <w:p>
            <w:pPr>
              <w:spacing w:after="120"/>
            </w:pPr>
            <w:r>
              <w:rPr>
                <w:rFonts w:ascii="Arial" w:cs="Arial" w:eastAsia="Arial" w:hAnsi="Arial"/>
                <w:sz w:val="20"/>
                <w:szCs w:val="20"/>
              </w:rPr>
              <w:t xml:space="preserve">_________________________________</w:t>
            </w:r>
          </w:p>
          <w:p>
            <w:pPr>
              <w:spacing w:after="120"/>
            </w:pPr>
            <w:r>
              <w:rPr>
                <w:rFonts w:ascii="Arial" w:cs="Arial" w:eastAsia="Arial" w:hAnsi="Arial"/>
                <w:sz w:val="20"/>
                <w:szCs w:val="20"/>
              </w:rPr>
              <w:t xml:space="preserve">_________________________________</w:t>
            </w:r>
          </w:p>
        </w:tc>
      </w:tr>
    </w:tbl>
    <w:p>
      <w:pPr>
        <w:spacing w:after="120"/>
      </w:pPr>
      <w:r>
        <w:rPr>
          <w:rFonts w:ascii="Arial" w:cs="Arial" w:eastAsia="Arial" w:hAnsi="Arial"/>
          <w:sz w:val="20"/>
          <w:szCs w:val="20"/>
        </w:rPr>
        <w:t xml:space="preserve"/>
      </w:r>
    </w:p>
    <w:p>
      <w:pPr>
        <w:spacing w:before="200"/>
      </w:pPr>
      <w:r>
        <w:rPr>
          <w:rFonts w:ascii="Arial" w:cs="Arial" w:eastAsia="Arial" w:hAnsi="Arial"/>
          <w:color w:val="64748B"/>
          <w:sz w:val="16"/>
          <w:szCs w:val="16"/>
        </w:rPr>
        <w:t xml:space="preserve">This template was generated by the 9DA™ Conformity Engine v4. </w:t>
      </w:r>
      <w:r>
        <w:rPr>
          <w:rFonts w:ascii="Arial" w:cs="Arial" w:eastAsia="Arial" w:hAnsi="Arial"/>
          <w:i/>
          <w:iCs/>
          <w:color w:val="64748B"/>
          <w:sz w:val="16"/>
          <w:szCs w:val="16"/>
        </w:rPr>
        <w:t xml:space="preserve">© 2026 Zdenka Cucin. Apache-2.0. github.com/9DAtm/9DA · 9da.org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DRAFT — For validation purposes only. Not a legal opinion. Consult qualified EU AI Act counsel before submitting to a notified body.  ·  Page </w:t>
    </w:r>
    <w:r>
      <w:rPr>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CE8" w:sz="6"/>
      </w:pBdr>
    </w:pPr>
    <w:r>
      <w:rPr>
        <w:rFonts w:ascii="Arial" w:cs="Arial" w:eastAsia="Arial" w:hAnsi="Arial"/>
        <w:b/>
        <w:bCs/>
        <w:color w:val="0A1628"/>
        <w:sz w:val="18"/>
        <w:szCs w:val="18"/>
      </w:rPr>
      <w:t xml:space="preserve">EU AI Act — Annex IV Technical Documentation</w:t>
    </w:r>
    <w:r>
      <w:rPr>
        <w:rFonts w:ascii="Arial" w:cs="Arial" w:eastAsia="Arial" w:hAnsi="Arial"/>
        <w:color w:val="64748B"/>
        <w:sz w:val="16"/>
        <w:szCs w:val="16"/>
      </w:rPr>
      <w:t xml:space="preserve">  ·  Regulation (EU) 2024/1689  ·  9DA™ Conformity Engine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0B5FA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AI Act — Annex IV Technical Documentation Template</dc:title>
  <dc:creator>Zdenka Cucin — 9DA™ Conformity Engine</dc:creator>
  <dc:description>Technical Documentation Template per Annex IV, Regulation (EU) 2024/1689</dc:description>
  <cp:lastModifiedBy>Un-named</cp:lastModifiedBy>
  <cp:revision>1</cp:revision>
  <dcterms:created xsi:type="dcterms:W3CDTF">2026-02-17T11:28:42.116Z</dcterms:created>
  <dcterms:modified xsi:type="dcterms:W3CDTF">2026-02-17T11:28:42.119Z</dcterms:modified>
</cp:coreProperties>
</file>

<file path=docProps/custom.xml><?xml version="1.0" encoding="utf-8"?>
<Properties xmlns="http://schemas.openxmlformats.org/officeDocument/2006/custom-properties" xmlns:vt="http://schemas.openxmlformats.org/officeDocument/2006/docPropsVTypes"/>
</file>