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05FB" w:rsidRDefault="00000000" w:rsidP="00F32DBD">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8C05FB" w:rsidRDefault="00000000" w:rsidP="00F32DBD">
      <w:pPr>
        <w:jc w:val="both"/>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5">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8C05FB" w:rsidRDefault="008C05FB" w:rsidP="00F32DBD">
      <w:pPr>
        <w:jc w:val="both"/>
        <w:rPr>
          <w:rFonts w:ascii="Google Sans" w:eastAsia="Google Sans" w:hAnsi="Google Sans" w:cs="Google Sans"/>
          <w:sz w:val="24"/>
          <w:szCs w:val="24"/>
        </w:rPr>
      </w:pPr>
    </w:p>
    <w:p w14:paraId="00000005" w14:textId="2D070353" w:rsidR="008C05FB" w:rsidRDefault="00063A37" w:rsidP="00F32DBD">
      <w:pPr>
        <w:pStyle w:val="ListParagraph"/>
        <w:widowControl w:val="0"/>
        <w:spacing w:line="240" w:lineRule="auto"/>
        <w:jc w:val="both"/>
        <w:rPr>
          <w:rFonts w:ascii="Google Sans" w:eastAsia="Google Sans" w:hAnsi="Google Sans" w:cs="Google Sans"/>
          <w:b/>
          <w:sz w:val="24"/>
          <w:szCs w:val="24"/>
        </w:rPr>
      </w:pPr>
      <w:sdt>
        <w:sdtPr>
          <w:rPr>
            <w:rFonts w:ascii="Google Sans" w:eastAsia="Google Sans" w:hAnsi="Google Sans" w:cs="Google Sans"/>
            <w:b/>
            <w:sz w:val="24"/>
            <w:szCs w:val="24"/>
          </w:rPr>
          <w:id w:val="-1138801041"/>
          <w14:checkbox>
            <w14:checked w14:val="0"/>
            <w14:checkedState w14:val="2612" w14:font="MS Gothic"/>
            <w14:uncheckedState w14:val="2610" w14:font="MS Gothic"/>
          </w14:checkbox>
        </w:sdtPr>
        <w:sdtContent>
          <w:r>
            <w:rPr>
              <w:rFonts w:ascii="MS Gothic" w:eastAsia="MS Gothic" w:hAnsi="MS Gothic" w:cs="Google Sans" w:hint="eastAsia"/>
              <w:b/>
              <w:sz w:val="24"/>
              <w:szCs w:val="24"/>
            </w:rPr>
            <w:t>☐</w:t>
          </w:r>
        </w:sdtContent>
      </w:sdt>
      <w:r>
        <w:rPr>
          <w:rFonts w:ascii="Google Sans" w:eastAsia="Google Sans" w:hAnsi="Google Sans" w:cs="Google Sans"/>
          <w:b/>
          <w:sz w:val="24"/>
          <w:szCs w:val="24"/>
        </w:rPr>
        <w:t xml:space="preserve"> </w:t>
      </w:r>
      <w:r w:rsidR="00000000" w:rsidRPr="00063A37">
        <w:rPr>
          <w:rFonts w:ascii="Google Sans" w:eastAsia="Google Sans" w:hAnsi="Google Sans" w:cs="Google Sans"/>
          <w:b/>
          <w:sz w:val="24"/>
          <w:szCs w:val="24"/>
        </w:rPr>
        <w:t xml:space="preserve">The Federal Energy Regulatory Commission - North American Electric </w:t>
      </w:r>
      <w:r w:rsidR="00000000">
        <w:rPr>
          <w:rFonts w:ascii="Google Sans" w:eastAsia="Google Sans" w:hAnsi="Google Sans" w:cs="Google Sans"/>
          <w:b/>
          <w:sz w:val="24"/>
          <w:szCs w:val="24"/>
        </w:rPr>
        <w:t>Reliability Corporation (FERC-NERC)</w:t>
      </w:r>
    </w:p>
    <w:p w14:paraId="00000006" w14:textId="77777777" w:rsidR="008C05FB" w:rsidRDefault="008C05FB" w:rsidP="00F32DBD">
      <w:pPr>
        <w:widowControl w:val="0"/>
        <w:spacing w:line="240" w:lineRule="auto"/>
        <w:jc w:val="both"/>
        <w:rPr>
          <w:rFonts w:ascii="Google Sans" w:eastAsia="Google Sans" w:hAnsi="Google Sans" w:cs="Google Sans"/>
          <w:b/>
          <w:sz w:val="24"/>
          <w:szCs w:val="24"/>
        </w:rPr>
      </w:pPr>
    </w:p>
    <w:p w14:paraId="00000007" w14:textId="77777777" w:rsidR="008C05FB" w:rsidRDefault="00000000" w:rsidP="00F32DBD">
      <w:pPr>
        <w:spacing w:after="200" w:line="36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77777777" w:rsidR="008C05FB" w:rsidRDefault="00000000" w:rsidP="00F32DBD">
      <w:pPr>
        <w:spacing w:after="200" w:line="360" w:lineRule="auto"/>
        <w:ind w:left="720"/>
        <w:jc w:val="both"/>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p>
    <w:p w14:paraId="00000009" w14:textId="3CBF5082" w:rsidR="008C05FB" w:rsidRPr="00063A37" w:rsidRDefault="00063A37" w:rsidP="00F32DBD">
      <w:pPr>
        <w:pStyle w:val="ListParagraph"/>
        <w:spacing w:after="200" w:line="360" w:lineRule="auto"/>
        <w:jc w:val="both"/>
        <w:rPr>
          <w:rFonts w:ascii="Google Sans" w:eastAsia="Google Sans" w:hAnsi="Google Sans" w:cs="Google Sans"/>
          <w:b/>
          <w:sz w:val="24"/>
          <w:szCs w:val="24"/>
        </w:rPr>
      </w:pPr>
      <w:sdt>
        <w:sdtPr>
          <w:rPr>
            <w:rFonts w:ascii="Google Sans" w:eastAsia="Google Sans" w:hAnsi="Google Sans" w:cs="Google Sans"/>
            <w:b/>
            <w:sz w:val="24"/>
            <w:szCs w:val="24"/>
          </w:rPr>
          <w:id w:val="-367682634"/>
          <w14:checkbox>
            <w14:checked w14:val="1"/>
            <w14:checkedState w14:val="2612" w14:font="MS Gothic"/>
            <w14:uncheckedState w14:val="2610" w14:font="MS Gothic"/>
          </w14:checkbox>
        </w:sdtPr>
        <w:sdtContent>
          <w:r w:rsidR="009911F6">
            <w:rPr>
              <w:rFonts w:ascii="MS Gothic" w:eastAsia="MS Gothic" w:hAnsi="MS Gothic" w:cs="Google Sans" w:hint="eastAsia"/>
              <w:b/>
              <w:sz w:val="24"/>
              <w:szCs w:val="24"/>
            </w:rPr>
            <w:t>☒</w:t>
          </w:r>
        </w:sdtContent>
      </w:sdt>
      <w:r>
        <w:rPr>
          <w:rFonts w:ascii="Google Sans" w:eastAsia="Google Sans" w:hAnsi="Google Sans" w:cs="Google Sans"/>
          <w:b/>
          <w:sz w:val="24"/>
          <w:szCs w:val="24"/>
        </w:rPr>
        <w:t xml:space="preserve"> </w:t>
      </w:r>
      <w:r w:rsidR="00000000" w:rsidRPr="00063A37">
        <w:rPr>
          <w:rFonts w:ascii="Google Sans" w:eastAsia="Google Sans" w:hAnsi="Google Sans" w:cs="Google Sans"/>
          <w:b/>
          <w:sz w:val="24"/>
          <w:szCs w:val="24"/>
        </w:rPr>
        <w:t>General Data Protection Regulation (GDPR)</w:t>
      </w:r>
    </w:p>
    <w:p w14:paraId="0000000A" w14:textId="5FE48364" w:rsidR="008C05FB" w:rsidRDefault="00000000" w:rsidP="00F32DBD">
      <w:pPr>
        <w:spacing w:after="200" w:line="36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 xml:space="preserve">GDPR is a European Union (E.U.) general data regulation that protects the processing of E.U. citizens’ data and their right to privacy in and out of E.U. territory. Additionally, if a breach occurs and </w:t>
      </w:r>
      <w:r w:rsidR="00625EBD">
        <w:rPr>
          <w:rFonts w:ascii="Google Sans" w:eastAsia="Google Sans" w:hAnsi="Google Sans" w:cs="Google Sans"/>
          <w:sz w:val="24"/>
          <w:szCs w:val="24"/>
        </w:rPr>
        <w:t>an E</w:t>
      </w:r>
      <w:r>
        <w:rPr>
          <w:rFonts w:ascii="Google Sans" w:eastAsia="Google Sans" w:hAnsi="Google Sans" w:cs="Google Sans"/>
          <w:sz w:val="24"/>
          <w:szCs w:val="24"/>
        </w:rPr>
        <w:t>.U. citizen’s data is compromised, they must be informed within 72 hours of the incident.</w:t>
      </w:r>
    </w:p>
    <w:p w14:paraId="0000000B" w14:textId="52B7220D" w:rsidR="008C05FB" w:rsidRDefault="00000000" w:rsidP="00F32DBD">
      <w:pPr>
        <w:spacing w:after="200" w:line="360" w:lineRule="auto"/>
        <w:ind w:left="720"/>
        <w:jc w:val="both"/>
        <w:rPr>
          <w:rFonts w:ascii="Google Sans" w:eastAsia="Google Sans" w:hAnsi="Google Sans" w:cs="Google Sans"/>
          <w:b/>
          <w:sz w:val="24"/>
          <w:szCs w:val="24"/>
        </w:rPr>
      </w:pPr>
      <w:r>
        <w:rPr>
          <w:rFonts w:ascii="Google Sans" w:eastAsia="Google Sans" w:hAnsi="Google Sans" w:cs="Google Sans"/>
          <w:b/>
          <w:sz w:val="24"/>
          <w:szCs w:val="24"/>
        </w:rPr>
        <w:t xml:space="preserve">Explanation: </w:t>
      </w:r>
      <w:r w:rsidR="00423896" w:rsidRPr="00423896">
        <w:rPr>
          <w:rFonts w:ascii="Google Sans" w:eastAsia="Google Sans" w:hAnsi="Google Sans" w:cs="Google Sans"/>
          <w:bCs/>
          <w:sz w:val="24"/>
          <w:szCs w:val="24"/>
        </w:rPr>
        <w:t xml:space="preserve">Adherence to GDPR is important for </w:t>
      </w:r>
      <w:proofErr w:type="spellStart"/>
      <w:r w:rsidR="00423896" w:rsidRPr="00423896">
        <w:rPr>
          <w:rFonts w:ascii="Google Sans" w:eastAsia="Google Sans" w:hAnsi="Google Sans" w:cs="Google Sans"/>
          <w:bCs/>
          <w:sz w:val="24"/>
          <w:szCs w:val="24"/>
        </w:rPr>
        <w:t>Botium</w:t>
      </w:r>
      <w:proofErr w:type="spellEnd"/>
      <w:r w:rsidR="00423896" w:rsidRPr="00423896">
        <w:rPr>
          <w:rFonts w:ascii="Google Sans" w:eastAsia="Google Sans" w:hAnsi="Google Sans" w:cs="Google Sans"/>
          <w:bCs/>
          <w:sz w:val="24"/>
          <w:szCs w:val="24"/>
        </w:rPr>
        <w:t xml:space="preserve"> Toys if they handle personal data of European Union citizens. Even though </w:t>
      </w:r>
      <w:proofErr w:type="spellStart"/>
      <w:r w:rsidR="00423896" w:rsidRPr="00423896">
        <w:rPr>
          <w:rFonts w:ascii="Google Sans" w:eastAsia="Google Sans" w:hAnsi="Google Sans" w:cs="Google Sans"/>
          <w:bCs/>
          <w:sz w:val="24"/>
          <w:szCs w:val="24"/>
        </w:rPr>
        <w:t>Botium</w:t>
      </w:r>
      <w:proofErr w:type="spellEnd"/>
      <w:r w:rsidR="00423896" w:rsidRPr="00423896">
        <w:rPr>
          <w:rFonts w:ascii="Google Sans" w:eastAsia="Google Sans" w:hAnsi="Google Sans" w:cs="Google Sans"/>
          <w:bCs/>
          <w:sz w:val="24"/>
          <w:szCs w:val="24"/>
        </w:rPr>
        <w:t xml:space="preserve"> Toys is not explicitly mentioned as an EU-based company, if they sell products or services to EU citizens or process their data, they need to follow GDPR rules to protect individuals' privacy rights and notify them of data breaches within 72 hours.</w:t>
      </w:r>
    </w:p>
    <w:p w14:paraId="083896C5" w14:textId="77777777" w:rsidR="001731F2" w:rsidRDefault="001731F2" w:rsidP="00F32DBD">
      <w:pPr>
        <w:spacing w:after="200" w:line="360" w:lineRule="auto"/>
        <w:ind w:left="720"/>
        <w:jc w:val="both"/>
        <w:rPr>
          <w:rFonts w:ascii="Google Sans" w:eastAsia="Google Sans" w:hAnsi="Google Sans" w:cs="Google Sans"/>
          <w:b/>
          <w:sz w:val="24"/>
          <w:szCs w:val="24"/>
        </w:rPr>
      </w:pPr>
    </w:p>
    <w:p w14:paraId="71B3DC03" w14:textId="77777777" w:rsidR="001731F2" w:rsidRDefault="001731F2" w:rsidP="00F32DBD">
      <w:pPr>
        <w:spacing w:after="200" w:line="360" w:lineRule="auto"/>
        <w:jc w:val="both"/>
        <w:rPr>
          <w:rFonts w:ascii="Google Sans" w:eastAsia="Google Sans" w:hAnsi="Google Sans" w:cs="Google Sans"/>
          <w:sz w:val="24"/>
          <w:szCs w:val="24"/>
        </w:rPr>
      </w:pPr>
    </w:p>
    <w:p w14:paraId="0000000C" w14:textId="142E139A" w:rsidR="008C05FB" w:rsidRPr="00063A37" w:rsidRDefault="00063A37" w:rsidP="00F32DBD">
      <w:pPr>
        <w:pStyle w:val="ListParagraph"/>
        <w:spacing w:after="200" w:line="360" w:lineRule="auto"/>
        <w:jc w:val="both"/>
        <w:rPr>
          <w:rFonts w:ascii="Google Sans" w:eastAsia="Google Sans" w:hAnsi="Google Sans" w:cs="Google Sans"/>
          <w:b/>
          <w:sz w:val="24"/>
          <w:szCs w:val="24"/>
        </w:rPr>
      </w:pPr>
      <w:sdt>
        <w:sdtPr>
          <w:rPr>
            <w:rFonts w:ascii="Google Sans" w:eastAsia="Google Sans" w:hAnsi="Google Sans" w:cs="Google Sans"/>
            <w:b/>
            <w:sz w:val="24"/>
            <w:szCs w:val="24"/>
          </w:rPr>
          <w:id w:val="1294028214"/>
          <w14:checkbox>
            <w14:checked w14:val="1"/>
            <w14:checkedState w14:val="2612" w14:font="MS Gothic"/>
            <w14:uncheckedState w14:val="2610" w14:font="MS Gothic"/>
          </w14:checkbox>
        </w:sdtPr>
        <w:sdtContent>
          <w:r w:rsidR="00D62726">
            <w:rPr>
              <w:rFonts w:ascii="MS Gothic" w:eastAsia="MS Gothic" w:hAnsi="MS Gothic" w:cs="Google Sans" w:hint="eastAsia"/>
              <w:b/>
              <w:sz w:val="24"/>
              <w:szCs w:val="24"/>
            </w:rPr>
            <w:t>☒</w:t>
          </w:r>
        </w:sdtContent>
      </w:sdt>
      <w:r>
        <w:rPr>
          <w:rFonts w:ascii="Google Sans" w:eastAsia="Google Sans" w:hAnsi="Google Sans" w:cs="Google Sans"/>
          <w:b/>
          <w:sz w:val="24"/>
          <w:szCs w:val="24"/>
        </w:rPr>
        <w:t xml:space="preserve"> </w:t>
      </w:r>
      <w:r w:rsidR="00000000" w:rsidRPr="00063A37">
        <w:rPr>
          <w:rFonts w:ascii="Google Sans" w:eastAsia="Google Sans" w:hAnsi="Google Sans" w:cs="Google Sans"/>
          <w:b/>
          <w:sz w:val="24"/>
          <w:szCs w:val="24"/>
        </w:rPr>
        <w:t>Payment Card Industry Data Security Standard (PCI DSS)</w:t>
      </w:r>
    </w:p>
    <w:p w14:paraId="0000000D" w14:textId="77777777" w:rsidR="008C05FB" w:rsidRDefault="00000000" w:rsidP="00F32DBD">
      <w:pPr>
        <w:spacing w:after="200" w:line="36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E" w14:textId="21519F17" w:rsidR="008C05FB" w:rsidRPr="00E34C4E" w:rsidRDefault="00000000" w:rsidP="00F32DBD">
      <w:pPr>
        <w:spacing w:after="200" w:line="360" w:lineRule="auto"/>
        <w:ind w:left="720"/>
        <w:jc w:val="both"/>
        <w:rPr>
          <w:rFonts w:ascii="Google Sans" w:eastAsia="Google Sans" w:hAnsi="Google Sans" w:cs="Google Sans"/>
          <w:bCs/>
          <w:sz w:val="24"/>
          <w:szCs w:val="24"/>
        </w:rPr>
      </w:pPr>
      <w:r>
        <w:rPr>
          <w:rFonts w:ascii="Google Sans" w:eastAsia="Google Sans" w:hAnsi="Google Sans" w:cs="Google Sans"/>
          <w:b/>
          <w:sz w:val="24"/>
          <w:szCs w:val="24"/>
        </w:rPr>
        <w:t>Explanation</w:t>
      </w:r>
      <w:r w:rsidRPr="00E34C4E">
        <w:rPr>
          <w:rFonts w:ascii="Google Sans" w:eastAsia="Google Sans" w:hAnsi="Google Sans" w:cs="Google Sans"/>
          <w:bCs/>
          <w:sz w:val="24"/>
          <w:szCs w:val="24"/>
        </w:rPr>
        <w:t xml:space="preserve">: </w:t>
      </w:r>
      <w:proofErr w:type="spellStart"/>
      <w:r w:rsidR="00E34C4E" w:rsidRPr="00E34C4E">
        <w:rPr>
          <w:rFonts w:ascii="Google Sans" w:eastAsia="Google Sans" w:hAnsi="Google Sans" w:cs="Google Sans"/>
          <w:bCs/>
          <w:sz w:val="24"/>
          <w:szCs w:val="24"/>
        </w:rPr>
        <w:t>Botium</w:t>
      </w:r>
      <w:proofErr w:type="spellEnd"/>
      <w:r w:rsidR="00E34C4E" w:rsidRPr="00E34C4E">
        <w:rPr>
          <w:rFonts w:ascii="Google Sans" w:eastAsia="Google Sans" w:hAnsi="Google Sans" w:cs="Google Sans"/>
          <w:bCs/>
          <w:sz w:val="24"/>
          <w:szCs w:val="24"/>
        </w:rPr>
        <w:t xml:space="preserve"> Toys needs to adhere to PCI DSS if they store, process, or transmit credit card information. Compliance with PCI DSS ensures that credit card data is handled securely, protecting both the customers' financial information and the reputation of the organization.</w:t>
      </w:r>
    </w:p>
    <w:p w14:paraId="0000000F" w14:textId="73277761" w:rsidR="008C05FB" w:rsidRPr="00063A37" w:rsidRDefault="00063A37" w:rsidP="00F32DBD">
      <w:pPr>
        <w:pStyle w:val="ListParagraph"/>
        <w:spacing w:after="200" w:line="360" w:lineRule="auto"/>
        <w:jc w:val="both"/>
        <w:rPr>
          <w:rFonts w:ascii="Google Sans" w:eastAsia="Google Sans" w:hAnsi="Google Sans" w:cs="Google Sans"/>
          <w:b/>
          <w:sz w:val="24"/>
          <w:szCs w:val="24"/>
        </w:rPr>
      </w:pPr>
      <w:sdt>
        <w:sdtPr>
          <w:rPr>
            <w:rFonts w:ascii="Google Sans" w:eastAsia="Google Sans" w:hAnsi="Google Sans" w:cs="Google Sans"/>
            <w:b/>
            <w:sz w:val="24"/>
            <w:szCs w:val="24"/>
          </w:rPr>
          <w:id w:val="-1886242503"/>
          <w14:checkbox>
            <w14:checked w14:val="0"/>
            <w14:checkedState w14:val="2612" w14:font="MS Gothic"/>
            <w14:uncheckedState w14:val="2610" w14:font="MS Gothic"/>
          </w14:checkbox>
        </w:sdtPr>
        <w:sdtContent>
          <w:r w:rsidR="00F76B81">
            <w:rPr>
              <w:rFonts w:ascii="MS Gothic" w:eastAsia="MS Gothic" w:hAnsi="MS Gothic" w:cs="Google Sans" w:hint="eastAsia"/>
              <w:b/>
              <w:sz w:val="24"/>
              <w:szCs w:val="24"/>
            </w:rPr>
            <w:t>☐</w:t>
          </w:r>
        </w:sdtContent>
      </w:sdt>
      <w:r>
        <w:rPr>
          <w:rFonts w:ascii="Google Sans" w:eastAsia="Google Sans" w:hAnsi="Google Sans" w:cs="Google Sans"/>
          <w:b/>
          <w:sz w:val="24"/>
          <w:szCs w:val="24"/>
        </w:rPr>
        <w:t xml:space="preserve"> </w:t>
      </w:r>
      <w:r w:rsidR="00000000" w:rsidRPr="00063A37">
        <w:rPr>
          <w:rFonts w:ascii="Google Sans" w:eastAsia="Google Sans" w:hAnsi="Google Sans" w:cs="Google Sans"/>
          <w:b/>
          <w:sz w:val="24"/>
          <w:szCs w:val="24"/>
        </w:rPr>
        <w:t>The Health Insurance Portability and Accountability Act (HIPAA)</w:t>
      </w:r>
    </w:p>
    <w:p w14:paraId="00000010" w14:textId="77777777" w:rsidR="008C05FB" w:rsidRDefault="00000000" w:rsidP="00F32DBD">
      <w:pPr>
        <w:spacing w:after="200" w:line="36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77777777" w:rsidR="008C05FB" w:rsidRDefault="00000000" w:rsidP="00F32DBD">
      <w:pPr>
        <w:spacing w:after="200" w:line="360" w:lineRule="auto"/>
        <w:ind w:left="720"/>
        <w:jc w:val="both"/>
        <w:rPr>
          <w:rFonts w:ascii="Google Sans" w:eastAsia="Google Sans" w:hAnsi="Google Sans" w:cs="Google Sans"/>
          <w:sz w:val="24"/>
          <w:szCs w:val="24"/>
        </w:rPr>
      </w:pPr>
      <w:r>
        <w:rPr>
          <w:rFonts w:ascii="Google Sans" w:eastAsia="Google Sans" w:hAnsi="Google Sans" w:cs="Google Sans"/>
          <w:b/>
          <w:sz w:val="24"/>
          <w:szCs w:val="24"/>
        </w:rPr>
        <w:t xml:space="preserve">Explanation: </w:t>
      </w:r>
    </w:p>
    <w:p w14:paraId="00000012" w14:textId="5C5CADBF" w:rsidR="008C05FB" w:rsidRPr="00063A37" w:rsidRDefault="00063A37" w:rsidP="00F32DBD">
      <w:pPr>
        <w:pStyle w:val="ListParagraph"/>
        <w:spacing w:after="200" w:line="360" w:lineRule="auto"/>
        <w:jc w:val="both"/>
        <w:rPr>
          <w:rFonts w:ascii="Google Sans" w:eastAsia="Google Sans" w:hAnsi="Google Sans" w:cs="Google Sans"/>
          <w:b/>
          <w:sz w:val="24"/>
          <w:szCs w:val="24"/>
        </w:rPr>
      </w:pPr>
      <w:sdt>
        <w:sdtPr>
          <w:rPr>
            <w:rFonts w:ascii="Google Sans" w:eastAsia="Google Sans" w:hAnsi="Google Sans" w:cs="Google Sans"/>
            <w:b/>
            <w:sz w:val="24"/>
            <w:szCs w:val="24"/>
          </w:rPr>
          <w:id w:val="1568140812"/>
          <w14:checkbox>
            <w14:checked w14:val="0"/>
            <w14:checkedState w14:val="2612" w14:font="MS Gothic"/>
            <w14:uncheckedState w14:val="2610" w14:font="MS Gothic"/>
          </w14:checkbox>
        </w:sdtPr>
        <w:sdtContent>
          <w:r>
            <w:rPr>
              <w:rFonts w:ascii="MS Gothic" w:eastAsia="MS Gothic" w:hAnsi="MS Gothic" w:cs="Google Sans" w:hint="eastAsia"/>
              <w:b/>
              <w:sz w:val="24"/>
              <w:szCs w:val="24"/>
            </w:rPr>
            <w:t>☐</w:t>
          </w:r>
        </w:sdtContent>
      </w:sdt>
      <w:r>
        <w:rPr>
          <w:rFonts w:ascii="Google Sans" w:eastAsia="Google Sans" w:hAnsi="Google Sans" w:cs="Google Sans"/>
          <w:b/>
          <w:sz w:val="24"/>
          <w:szCs w:val="24"/>
        </w:rPr>
        <w:t xml:space="preserve"> </w:t>
      </w:r>
      <w:r w:rsidR="00000000" w:rsidRPr="00063A37">
        <w:rPr>
          <w:rFonts w:ascii="Google Sans" w:eastAsia="Google Sans" w:hAnsi="Google Sans" w:cs="Google Sans"/>
          <w:b/>
          <w:sz w:val="24"/>
          <w:szCs w:val="24"/>
        </w:rPr>
        <w:t>System and Organizations Controls (SOC type 1, SOC type 2)</w:t>
      </w:r>
    </w:p>
    <w:p w14:paraId="00000013" w14:textId="77777777" w:rsidR="008C05FB" w:rsidRDefault="00000000" w:rsidP="00F32DBD">
      <w:pPr>
        <w:spacing w:after="200" w:line="360" w:lineRule="auto"/>
        <w:ind w:left="720"/>
        <w:jc w:val="both"/>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4" w14:textId="77777777" w:rsidR="008C05FB" w:rsidRDefault="00000000" w:rsidP="00F32DBD">
      <w:pPr>
        <w:spacing w:after="200" w:line="360" w:lineRule="auto"/>
        <w:ind w:left="720"/>
        <w:jc w:val="both"/>
        <w:rPr>
          <w:rFonts w:ascii="Google Sans" w:eastAsia="Google Sans" w:hAnsi="Google Sans" w:cs="Google Sans"/>
          <w:sz w:val="24"/>
          <w:szCs w:val="24"/>
        </w:rPr>
      </w:pPr>
      <w:r>
        <w:rPr>
          <w:rFonts w:ascii="Google Sans" w:eastAsia="Google Sans" w:hAnsi="Google Sans" w:cs="Google Sans"/>
          <w:b/>
          <w:sz w:val="24"/>
          <w:szCs w:val="24"/>
        </w:rPr>
        <w:t xml:space="preserve">Explanation: </w:t>
      </w:r>
    </w:p>
    <w:sectPr w:rsidR="008C05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B6309"/>
    <w:multiLevelType w:val="hybridMultilevel"/>
    <w:tmpl w:val="F56CD76C"/>
    <w:lvl w:ilvl="0" w:tplc="6B66B55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8376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FB"/>
    <w:rsid w:val="00063A37"/>
    <w:rsid w:val="001731F2"/>
    <w:rsid w:val="00423896"/>
    <w:rsid w:val="00542F23"/>
    <w:rsid w:val="00625EBD"/>
    <w:rsid w:val="008C05FB"/>
    <w:rsid w:val="009911F6"/>
    <w:rsid w:val="00BD45F2"/>
    <w:rsid w:val="00D62726"/>
    <w:rsid w:val="00E34C4E"/>
    <w:rsid w:val="00F32DBD"/>
    <w:rsid w:val="00F7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6DA9"/>
  <w15:docId w15:val="{A88C1B50-C42D-4BA2-BE18-8D651D03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63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foundations-of-cybersecurity/supplement/xu4pr/controls-frameworks-and-compli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12</cp:revision>
  <dcterms:created xsi:type="dcterms:W3CDTF">2023-08-30T13:27:00Z</dcterms:created>
  <dcterms:modified xsi:type="dcterms:W3CDTF">2023-08-30T13:36:00Z</dcterms:modified>
</cp:coreProperties>
</file>