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4A261"/>
                <w:sz w:val="24"/>
                <w:szCs w:val="24"/>
              </w:rPr>
              <w:t xml:space="preserve">PRODUCT REQUIREMENTS DOCUMENT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AI-Powered Placement Risk Modeling System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Linking Study Abroad Education Loans to Career Success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BB7D4"/>
                <w:sz w:val="18"/>
                <w:szCs w:val="18"/>
              </w:rPr>
              <w:t xml:space="preserve">Version 1.0  |  April 2026  |  Classification: Internal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&amp; Engineering Team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April 19, 2026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 Review</w:t>
            </w:r>
          </w:p>
        </w:tc>
      </w:tr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Lenders, Risk Teams, Institute Partners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1: 6 months MVP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2. Problem Statement &amp; Background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3. Goals &amp; Non-Goals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4. User Personas &amp; Stakeholders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5. System Architecture &amp; Data Flow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6. Data Requirements &amp; Feature Engineering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7. ML Model Design &amp; Logic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8. Core Features &amp; Functional Requirements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9. API Specification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10. Risk Classification Logic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11. Next-Best-Action (NBA) Engine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12. Non-Functional Requirements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13. Success Metrics &amp; KPIs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14. Compliance, Privacy &amp; Ethics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15. Dependencies &amp; Constraints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16. Implementation Roadmap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17. Open Questions &amp; Assumptions</w:t>
      </w:r>
    </w:p>
    <w:p>
      <w:pPr>
        <w:spacing w:after="60" w:before="60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18. Glossary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AI-Powered Placement Risk Modeling System (hereinafter "PlacementIQ") is a predictive intelligence platform designed to help education loan lenders assess and manage employability risk for student borrowers. By forecasting a student's probability of securing employment within 3, 6, and 12 months of graduation — alongside their expected starting salary — PlacementIQ delivers early, actionable signals to lenders before repayment milestones arrive.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1"/>
              <w:left w:val="single" w:color="1B4F8C" w:sz="12"/>
              <w:bottom w:val="single" w:color="1B4F8C" w:sz="1"/>
              <w:right w:val="single" w:color="1B4F8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Core Value Proposition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PlacementIQ converts unstructured student data (academic records, institute history, industry demand) into a structured risk score + explainable narrative, enabling lenders to intervene proactively rather than reactively. The system targets a 10–25% reduction in early-stage delinquencies within 12 months of deployment.</w:t>
            </w:r>
          </w:p>
        </w:tc>
      </w:tr>
    </w:tbl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PlacementIQ is not an automated credit decisioning tool. It augments human judgment with data-driven insight and recommended interventions. All final credit and support decisions remain with lender relationship managers.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2. Problem Statement &amp; Background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The Gap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Education loan lenders currently lack systematic visibility into post-graduation employment outcomes for student borrowers. This creates two compounding risks: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Repayment defaults begin 6–12 months post-graduation when students remain unemployed or underemployed.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Lenders have no early-warning mechanism to trigger supportive interventions (skill-up programs, counselling, EMI restructuring) before delinquency events occur.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Portfolio-level risk assessment relies on lagging indicators (missed EMIs) rather than leading indicators (employability signals).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Root Causes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Siloed data: academic records, institute placement data, and job-market data exist in separate systems with no unified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predictive model: existing underwriting scores do not account for post-graduation employability dynamics.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Reactive support: student counselling is triggered only after repayment stress — not before.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Opportunity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well-designed AI system that aggregates multi-source data and applies machine learning can predict placement risk 3–12 months ahead of the repayment start date — providing a critical intervention window for lenders and students alike.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Predict the probability of student job placement within 3, 6, and 12 months post-graduation with measurable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 expected starting salary range by field, institute tier, and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Classify each borrower into a placement risk band (Low / Medium / High) with explainable rationale.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Surface early alerts to lenders for high-risk students, at least 3 months before EMI start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 next-best-action recommendations (skill-up, mock interviews, recruiter matches) to reduce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a lender-facing dashboard with cohort-level and individual-level risk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 explainable: every risk score must be accompanied by human-readable top-3 risk drivers.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 scalable across course types, institute tiers, geographies, and loan portfolios.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PlacementIQ does NOT automate loan approval or rejection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PlacementIQ does NOT directly communicate risk scores to students (outputs are lender-facing only in Phase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PlacementIQ does NOT replace human relationship managers or career counsellors.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PlacementIQ does NOT guarantee placement outcomes or serve as a promise to any party.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PlacementIQ does NOT ingest or store biometric or sensitive personal data beyond what is required for employability modeling.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4. User Personas &amp; Stakeholders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80"/>
        <w:gridCol w:w="2380"/>
      </w:tblGrid>
      <w:tr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23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Lender Risk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risk owner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Early visibility into repayment risk at cohort and individual level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cohort alerts, export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account owner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Actionable interventions for at-risk students before delinquency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 risk card + NBA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Institute Placement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Campus placement coordinator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Understanding which students need support and recruiter leads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Institute-level aggregate view (Phase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Manager /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thresholds, model parameters, alert rules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panel, model config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 oversight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trails, explainability reports, bias monitoring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dashboard, model reports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5. System Architecture &amp; Data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PlacementIQ follows a layered microservices architecture with distinct data ingestion, feature engineering, modeling, explainability, and presentation layers. All layers communicate via REST APIs and are orchestrated through a central job scheduler.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060"/>
        <w:gridCol w:w="3400"/>
      </w:tblGrid>
      <w:tr>
        <w:tc>
          <w:tcPr>
            <w:tcW w:type="dxa" w:w="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Ingestion 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Student, Institute, Industry, Behavioral APIs + Batch ETL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Normalized feature store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CGPA normalization, institute tier encoding, demand index calc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ML-ready feature vectors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Model 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XGBoost + Logistic ensemble; Gradient Boosted Regressor (salary)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Scores + probability distributions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Explainability (XAI)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SHAP values, LIME, top-3 risk driver extraction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Human-readable risk factors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band classification, alert thresholds, NBA rules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label + next-best-action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endpoints, JWT auth, rate limiting, versioning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responses to consumers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Lender Dashboard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risk cards, cohort views, early alert feed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Actionable UI for lenders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Data Flow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 ingestion runs nightly (T+0 to T-1 day lag) for academic and institute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signals (job portal activity, interview pipeline updates) are processed via event streaming (Kafka/SQS) with ≤ 15-minute 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store is refreshed daily; model inference runs on-demand (API) and nightly (batch scoring).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 engine evaluates every student's updated score nightly and pushes alerts to the lender dashboard when risk band changes or high-risk threshold is crossed.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6. Data Requirements &amp; Feature Engineering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Data Sources &amp; Categories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2360"/>
        <w:gridCol w:w="1600"/>
      </w:tblGrid>
      <w:tr>
        <w:tc>
          <w:tcPr>
            <w:tcW w:type="dxa" w:w="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Academic &amp; 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type, year/semester, CGPA, academic consistency, internship history (duration, employer type, performance), skill certifications, extracurriculars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Institute SIS / Loan origination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semester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Institute &amp; Program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Institute tier (A/B/C/D), program-wise placement rates (3/6/12m outcomes), historic salary benchmarks, placement cell activity index, recruiter participation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Institute placement portal API / Manual 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Industry &amp; Labor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demand index by field/region, sector hiring trends (IT, BFSI, manufacturing, healthcare), macroeconomic indicators (unemployment rate, GDP growth), job openings per graduate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Govt. labor bureau, NAUKRI/LinkedIn APIs, proprietary indices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Behavioral &amp; Real-Time Signals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portal activity score, interview pipeline stage, resume update recency, skill platform enrollments, institute-shared placement progress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portal webhooks, student self-reporting, institute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/ Daily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Outcome Labels (Training)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Placement status at 3/6/12m, job title, employer type (MNC/startup/govt), actual starting salary, notes on delays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Lender CRM / Institute 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historical + ongoing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Feature Engineering Specifications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derived features are computed on top of raw inputs to power the ML models: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CGPA Score (Normalized): CGPA mapped to a 0–1 scale relative to program and institute cohort; adjusts for grading-scale variance across institutes.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Institute Tier Score: Weighted composite of placement rate history, salary benchmarks, NAAC/NBA ranking, and recruiter engagement. Scale: 1 (lowest) to 10 (highest).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Internship Quality Index (IQI): Combines duration (months), employer tier (MNC=1.0, startup=0.7, SME=0.5), and recency. Formula: IQI = (duration_months × employer_weight × recency_decay_factor) / 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Field Demand Score: Derived from job openings per graduate in the student's discipline × region. Updated weekly from labor market 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Macro Climate Index: Weighted composite of regional unemployment rate, sector hiring growth YoY, and GDP growth. Computed quarterly.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Behavioral Activity Score (optional): Aggregated job-portal sessions, applications submitted, interview stages reached. Normalized to 0–100.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Placement Cell Effectiveness: Derived from historical % of students placed through campus recruitment vs. off-campus, weighted by current recruiter participation trend.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7. ML Model Design &amp;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Model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PlacementIQ uses a two-model ensemble strategy: a Classification Model for placement timeline prediction and a Regression Model for salary estimation.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280"/>
        <w:gridCol w:w="1800"/>
      </w:tblGrid>
      <w:tr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Placement Timeline Classifier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XGBoost + Logistic Regression ensemble (stacking). XGBoost handles non-linear feature interactions; LR adds interpretability layer.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P(placed ≤ 3m), P(placed ≤ 6m), P(placed ≤ 12m) — each as independent binary classifiers.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F1-score (per horizon), AUC-ROC, Precision@K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Salary Range Estimator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Gradient Boosted Regressor (LightGBM) with quantile regression for range estimation (10th–90th percentile).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Expected salary range (INR/month): low, median, high estimates.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MAPE, MAE, Quantile loss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Band Classifier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Rule-augmented threshold logic on top of classifier outputs. Deterministic layer for compliance explainability.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label: Low / Medium / High.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precision, False positive rate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Training Data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Historical dataset target: minimum 10,000 labeled student records with 3-year longitudinal placement outcomes.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Stratified sampling by institute tier, course type, and graduation year to prevent class imbalance and temporal leakage.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Train/validation/test split: 70% / 15% / 15%. Test set held strictly out-of-time (most recent 12 months of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Synthetic oversampling (SMOTE) applied for underrepresented course types (e.g., nursing, fine arts) to avoid bias.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Model Retraining Cadence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Scheduled retraining: monthly, incorporating the latest 3 months of outcome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Drift-triggered retraining: automatic if Population Stability Index (PSI) exceeds 0.25 on any key feature.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Champion/challenger deployment: new model versions are shadow-deployed for 2 weeks before promotion; rollback is automatic if AUC drops &gt; 3%.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Explainability (XAI)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model output is accompanied by an explanation generated using SHAP (SHapley Additive exPlanations):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Top-3 positive factors: features that pushed the risk score lower (e.g., 'High-tier institute with 85% 3-month placement rate').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Top-3 negative factors: features that increased risk (e.g., 'No internship experience detected', 'Field demand index in bottom 20% nationally').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SHAP values are pre-computed at batch scoring time and stored in the feature store for instant API retrieval.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Human-readable summaries are generated using a rule-based NLG template engine that converts SHAP drivers into plain-language sentences.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8. Core Features &amp; Functional Requirements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760"/>
        <w:gridCol w:w="1200"/>
        <w:gridCol w:w="1300"/>
      </w:tblGrid>
      <w:tr>
        <w:tc>
          <w:tcPr>
            <w:tcW w:type="dxa" w:w="9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Placement Timeline 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 probability (0–100%) of placement at 3m, 6m, 12m horizons per student. Refresh nightly and on-demand.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Band Classification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Classify each student as Low / Medium / High risk based on placement probability thresholds and configurable rules.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Salary Range Estimation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 expected starting salary (low/median/high) in INR/month based on field, institute tier, and region.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Explainability Narrative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top-3 risk drivers in plain language for every score output. Example: 'No internship + low field demand + Tier-C institute'.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Early Alert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alert to lender dashboard when a student crosses High-risk threshold or risk band worsens. 3-month lead time before EMI start.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Next-Best-Action Recommendations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NBA engine: suggest skill-up, resume coaching, mock interviews, or recruiter matching based on risk drivers.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Lender Dashboard — Individual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card per student: score, band, salary estimate, top drivers, NBA, trend graph over last 90 days.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Lender Dashboard — Cohort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 views: risk distribution by institute, course, disbursement cohort. Filter by geography, course type, risk band.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Bulk Scoring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inference endpoint accepting up to 1,000 student records per request. Async with webhook callback.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Drift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PSI and feature-distribution monitoring. Dashboard alert + email to ML team if drift threshold breached.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Trail &amp; Explainability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Exportable PDF/CSV per student with full score history, model version, feature inputs, and SHAP outputs.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Configuration Panel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Configurable risk thresholds, alert rules, NBA mappings, institute metadata, and feature weights by lender.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 Signal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 job-portal activity, interview progress, and skill-platform events via webhooks to update behavioral score.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Student-Facing Nudges (Future)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Optional: share risk-improvement tips with students via lender's mobile app integration. No raw scores shared.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9.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Authentication &amp; Versioning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APIs use JWT Bearer token authentication. Base URL: https://api.placementiq.io/v1. Rate limit: 1,000 requests/minute per lender tenant.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Core Endpoints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/score/student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Single-student real-time scoring. Returns placement probabilities, risk band, salary range, top-3 drivers, and NBA recommendations.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/score/batch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scoring for up to 1,000 students. Async processing; returns job_id. Webhook callback on completion.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/score/{student_id}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 latest cached score for a student. Returns full score object + 90-day score trend.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/score/{student_id}/history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full chronological score history with model version and feature snapshot for each scoring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/alerts/active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all active high-risk alerts for the lender's portfolio. Filterable by institute, course, risk band, and date range.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/alerts/{id}/acknowledge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 an alert as acknowledged + record relationship manager action taken.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/cohort/summary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Cohort-level aggregate: risk distribution, average placement probability, salary band distribution. Filterable.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/model/metadata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current model version, training date, feature list, and performance metrics (AUC, F1) for transparency.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actual placement outcome for a student (used for model retraining and outcome tracking).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health check endpoint. Returns status, latency, and model availability.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Sample Request/Response — POST /score/student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Request Payload (JSON)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
  "student_id": "STU-2024-00891",
  "lender_id": "LND-HDFC-001",
  "academic": {
    "course_type": "MBA",
    "cgpa": 7.2,
    "semester": 4,
    "internship_months": 3,
    "employer_tier": "MNC",
    "certifications": ["CFA-L1", "Excel-Advanced"]
  },
  "institute_id": "INST-00042",
  "graduation_date": "2024-06-30"
}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Response Payload (JSON)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
  "student_id": "STU-2024-00891",
  "scored_at": "2026-04-19T10:32:00Z",
  "model_version": "v2.4.1",
  "placement_probability": {
    "within_3_months": 0.52,
    "within_6_months": 0.78,
    "within_12_months": 0.91
  },
  "salary_estimate": {
    "low": 45000, "median": 62000, "high": 85000, "currency": "INR"
  },
  "risk_band": "MEDIUM",
  "risk_score": 54,
  "risk_drivers": [
    { "rank": 1, "factor": "Institute tier below top-quartile for MBA placements", "impact": "negative" },
    { "rank": 2, "factor": "Internship at MNC strengthens employability", "impact": "positive" },
    { "rank": 3, "factor": "Current IT-sector hiring down 12% YoY in candidate's target region", "impact": "negative" }
  ],
  "next_best_action": [
    { "action": "SKILL_UP", "detail": "Enroll in SQL/Python for Business Analytics — increases placement probability by ~8%" },
    { "action": "MOCK_INTERVIEW", "detail": "Schedule 2 mock interviews before graduation month" }
  ]
}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10. Risk Classification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Risk Band Thresholds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Risk band classification uses the 6-month placement probability as the primary signal, augmented by a rules override layer for edge cases: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260"/>
        <w:gridCol w:w="2000"/>
      </w:tblGrid>
      <w:tr>
        <w:tc>
          <w:tcPr>
            <w:tcW w:type="dxa" w:w="21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Conditions</w:t>
            </w:r>
          </w:p>
        </w:tc>
        <w:tc>
          <w:tcPr>
            <w:tcW w:type="dxa" w:w="22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Lender Action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Top-tier institute, CGPA &gt; 7.5, internship, high demand field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Quarterly review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Mid-tier institute, moderate CGPA, limited internship, fluctuating demand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Skill-up nudge + outreach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review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Low-tier institute, CGPA &lt; 6, no internship, low demand field + adverse macro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Case manager assigned + EMI grace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tracking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Override Rules (Hard Rules)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conditions trigger automatic HIGH risk classification regardless of model score: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Student's institute has a 12-month placement rate below 40% (historical).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 has zero internship experience AND is in a course with demand index in the bottom quartile nationally.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Macro Climate Index drops below 0.3 (indicating severe labor market contraction in the student's target sector).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Student's CGPA is below 5.0 on a 10-point scale AND institute tier score is below 3.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1"/>
              <w:left w:val="single" w:color="F4A261" w:sz="12"/>
              <w:bottom w:val="single" w:color="F4A261" w:sz="1"/>
              <w:right w:val="single" w:color="F4A261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Explainability Mandate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risk band assignment — whether model-driven or rule-driven — must produce a human-readable summary. Rule-driven overrides must be clearly labeled as 'Policy Override' in the audit trail and dashboard to maintain transparency for compliance review.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11. Next-Best-Action (NBA)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NBA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NBA engine translates risk drivers into concrete, prioritized recommendations for lenders and students. It uses a decision-tree rule layer on top of the SHAP risk drivers: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c>
          <w:tcPr>
            <w:tcW w:type="dxa" w:w="2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NBA Action</w:t>
            </w:r>
          </w:p>
        </w:tc>
        <w:tc>
          <w:tcPr>
            <w:tcW w:type="dxa" w:w="25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internship detected OR internship &lt; 1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SKILL_UP + Internship Referral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to lender-partnered online courses + institute placement cell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+8–12% placement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 demand score &lt; 30th percentile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ALTERNATE_FIELD_EXPLORE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adjacent high-demand roles compatible with the student's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+5–10% placement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Behavioral score &lt; 40 (low job-portal activity)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JOB_SEARCH_COACHING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Nudge to career counsellor + resume workshop 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+7% placement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CGPA &lt; 6.0 + Tier-C/D institute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MOCK_INTERVIEW + Resume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 2 mock interviews; resume scoring tool 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+6% placement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band transitions to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CASE_MANAGER_ASSIGNMENT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dedicated relationship manager + schedule check-in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Prevents delinquency in 35% of cases (historical benchmark)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3-month P(placed) &lt; 0.30 at 1 month post-graduation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EMI_GRACE_REVIEW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 for EMI deferral review by credit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Reduces forced default rate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12. Non-Functional Requirements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Latency (real-time)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p95 ≤ 1,200 ms; p99 ≤ 2,500 ms under 500 concurrent 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Lender dashboard usability requires sub-2s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throughput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10,000 records in ≤ 30 minutes (nightly batch window)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Supports portfolios up to 10k active borrowers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99.5% monthly uptime; planned maintenance within 2-hour weekly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Lender operations are business-hours dependent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≥ 20 lender tenants with strict data isolation (tenant-scoped encryption)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commercial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at rest; TLS 1.3 in transit; field-level encryption for PII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RBI data localization + IT Act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 with 4 roles: Analyst, RM, Admin, Compliance Officer. MFA mandatory for Admin.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Principle of least privilege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transparency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inference must store: feature inputs, SHAP values, model version, timestamp. Retention: 7 years.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 audit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Fairness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demographic parity checks across gender, geography, and course type. Alert if disparity &gt; 10%.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Ethical AI mandate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metrics + Grafana dashboards for latency, error rate, model drift (PSI), and alert volume.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 operational health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13. Success Metrics &amp; KPIs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2280"/>
        <w:gridCol w:w="1400"/>
      </w:tblGrid>
      <w:tr>
        <w:tc>
          <w:tcPr>
            <w:tcW w:type="dxa" w:w="3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24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Target</w:t>
            </w:r>
          </w:p>
        </w:tc>
        <w:tc>
          <w:tcPr>
            <w:tcW w:type="dxa" w:w="228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Target</w:t>
            </w:r>
          </w:p>
        </w:tc>
        <w:tc>
          <w:tcPr>
            <w:tcW w:type="dxa" w:w="1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Placement timeline prediction accuracy (3-month)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75% F1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≥ 85% F1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Placement timeline prediction accuracy (6-month)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80% F1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≥ 88% F1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Salary estimation MAPE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 18%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≤ 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High-risk student early alert precision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70%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≥ 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Lender dashboard daily active usage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60% of enrolled users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≥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p95 response latency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 1,200 ms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≤ 500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drift detection (PSI)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PSI &lt; 0.25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PSI &lt; 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Early delinquency reduction (6-month rolling)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relative reduction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25% 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Quarterly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14. Compliance, Privacy &amp; Ethics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14.1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collects only data necessary for employability modeling. No biometric, caste, religion, or political data is ingested.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 PII is pseudonymized at the feature store layer; raw identifiers are stored only in the encrypted source database with access limited to DBA + Compliance Officer.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retention: raw data 3 years post-loan closure; model outputs and audit logs 7 years per RBI guidelines.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 consent for data use must be captured at loan origination (via lender's process). PlacementIQ does not manage consent directly.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14.2 Model Fairness &amp; Ethics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must not use protected attributes (gender, religion, caste, region of birth) as model features, directly or as proxies.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 fairness audits: demographic parity, equal opportunity metrics computed across gender, geography, and course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bias remediation SLA is set at 30 days from detection to corrective model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model outputs are advisory, not deterministic. Final credit or support decisions require human-in-the-loop sign-off.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14.3 Regulatory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RBI Guidelines on Fair Lending Practices — risk scores must be explainable and not discriminatory.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Act 2000 &amp; DPDP Act 2023 (India) — data localization, consent, and breach notification requirements apply.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IRDAI / NHB guidelines apply if the system is extended to insurance-linked or housing loan products in future phases.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15. Dependencies &amp;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Institute data partnerships: PlacementIQ requires data-sharing agreements with at least 5 pilot institutes before Phase 1 scoring can begin. This is a critical path dependency.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Labor market data APIs: Requires subscription to at least one national job-market data provider (e.g., NAUKRI, LinkedIn Talent Insights, MoSPI). Procurement lead time: 4–6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Lender CRM integration: Historical outcome labels (placed/not placed at 3/6/12m) must be exported from the lender's loan management system. Data quality may require 2–3 weeks of cleansing.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ML infrastructure: Requires GPU-enabled training cluster (minimum 2× A10 or equivalent) for initial model training. Inference can run on CPU-optimized nodes.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Regulatory approvals: Any changes to the risk classification logic that affect lending decisions must be reviewed by the lender's internal compliance team before deployment.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16. Implementation Roadmap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60"/>
        <w:gridCol w:w="2400"/>
      </w:tblGrid>
      <w:tr>
        <w:tc>
          <w:tcPr>
            <w:tcW w:type="dxa" w:w="1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
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Stakeholder interviews, data audit, institute onboarding contracts, infra provisioning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Data pipeline POC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E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MVP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4–12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engineering, baseline ML models, SHAP integration, REST API v1, lender dashboard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75% F1 on held-out test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13–18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pilot institutes, lender feedback loop, model fine-tuning, alert system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100 students scored; lender NPS &gt; 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19–26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Multi-institute rollout, NBA engine, salary model, compliance audit, SLA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500+ students, p95 &lt; 1.2s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6A9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
Optimize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signals integration, model retraining cadence, A/B testing, reporting 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Delinquency KPI achieved</w:t>
            </w:r>
          </w:p>
        </w:tc>
      </w:tr>
    </w:tbl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17. Open Questions &amp;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17.1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OQ-01: What is the minimum acceptable historical dataset size for a new institute with limited placement records? Is 500 records sufficient for institute-level calibration?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OQ-02: Should salary estimates be displayed in absolute terms or only as a percentile band relative to the institute's historic range?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OQ-03: Can students opt in to see their own risk scores via the lender's mobile app in Phase 2? What consent and UX guardrails are required?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OQ-04: How should the model handle students who pursue higher education (PG after UG) instead of employment — should they be excluded from repayment risk scoring?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OQ-05: What is the fallback scoring logic when an institute has not shared data for 60+ days? Use last-known institute tier or flag as 'data-stale'?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17.2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Lenders will provide historical loan performance data (EMI repayment behavior) to close the feedback loop between placement outcomes and repayment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Institute partners will update placement progress data at minimum monthly; students who cannot be scored due to missing data will be flagged as 'Unscored' rather than assigned a default risk band.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MVP will cover Engineering, MBA, and Nursing programs as initial course types; additional program types will be added iteratively.</w:t>
      </w:r>
    </w:p>
    <w:p>
      <w:pPr>
        <w:pBdr>
          <w:bottom w:val="single" w:color="2E86AB" w:sz="8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18. Glossary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PlacementIQ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internal codename for the AI Placement Risk Modeling System described in this PRD.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Placement Timeline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probability (0–100%) that a student will be placed within 3, 6, or 12 months of graduation.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Risk Band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categorical classification (Low / Medium / High) derived from placement probability and override rules.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SHAP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SHapley Additive exPlanations — a game-theory-based method for explaining individual model predictions.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IQI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Internship Quality Index — a composite feature measuring the quality and recency of a student's internship experience.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Population Stability Index — a metric used to detect shifts in the distribution of input features over time, signaling model drift.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NBA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Next-Best-Action — rule-driven recommendations surfaced to lenders or students to improve placement outcomes.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MAPE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 Absolute Percentage Error — the primary evaluation metric for salary estimation accuracy.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AUC-ROC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Area Under the Receiver Operating Characteristic Curve — measures classification model discriminatory power.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F1-Score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Harmonic mean of precision and recall; primary metric for placement timeline prediction model evaluation.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EMI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Equated Monthly Installment — the fixed monthly repayment amount due from a loan borrower.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LMS / 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Loan Management System / Student Information System — source systems for borrower and academic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Champion/Challenger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model deployment strategy where the current production model (champion) is compared against a new candidate (challenger) in shadow mode before promotion.</w:t>
            </w:r>
          </w:p>
        </w:tc>
      </w:tr>
    </w:tbl>
    <w:p/>
    <w:p>
      <w:pPr>
        <w:pBdr>
          <w:bottom w:val="single" w:color="1B4F8C" w:sz="8" w:space="1"/>
        </w:pBdr>
        <w:spacing w:after="120" w:before="120"/>
      </w:pPr>
    </w:p>
    <w:p/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This document is classified as Internal — Confidential. Distribution is restricted to authorized stakeholders. For questions or amendments, contact the Product Owner.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2026 Career Success Platform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86AB"/>
        <w:sz w:val="18"/>
        <w:szCs w:val="18"/>
      </w:rPr>
      <w:t xml:space="preserve">AI Placement Risk Modeling System —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F4A26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600" w:hanging="30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spacing w:after="40" w:before="40"/>
        <w:ind w:left="96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2026-04-19T06:55:26.574Z</dcterms:created>
  <dcterms:modified xsi:type="dcterms:W3CDTF">2026-04-19T06:55:26.575Z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