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信息安全与账号权限规范</w:t>
      </w:r>
    </w:p>
    <w:p>
      <w:pPr>
        <w:jc w:val="left"/>
      </w:pPr>
      <w:r>
        <w:t>文档类型：Word DOCX（.docx）</w:t>
        <w:br/>
        <w:t>用于验证 Word 解析、分段与向量化流水线。</w:t>
      </w:r>
    </w:p>
    <w:p>
      <w:pPr>
        <w:pStyle w:val="Heading2"/>
      </w:pPr>
      <w:r>
        <w:t>1. 账号开通</w:t>
      </w:r>
    </w:p>
    <w:p>
      <w:r>
        <w:t>新员工入职后由 IT 开通企业邮箱、OA、VPN 与代码仓库权限。</w:t>
      </w:r>
    </w:p>
    <w:p>
      <w:r>
        <w:t>临时外包账号有效期默认 90 天，到期自动冻结。</w:t>
      </w:r>
    </w:p>
    <w:p>
      <w:pPr>
        <w:pStyle w:val="Heading2"/>
      </w:pPr>
      <w:r>
        <w:t>2. 权限申请</w:t>
      </w:r>
    </w:p>
    <w:p>
      <w:pPr>
        <w:pStyle w:val="ListNumber"/>
      </w:pPr>
      <w:r>
        <w:t>生产环境数据库只读权限须由部门负责人与 DBA 双审批。</w:t>
      </w:r>
    </w:p>
    <w:p>
      <w:pPr>
        <w:pStyle w:val="ListNumber"/>
      </w:pPr>
      <w:r>
        <w:t>禁止共享个人账号；发现共享立即停用并纳入安全审计。</w:t>
      </w:r>
    </w:p>
    <w:p>
      <w:pPr>
        <w:pStyle w:val="ListNumber"/>
      </w:pPr>
      <w:r>
        <w:t>离职当日回收全部系统权限，硬件资产在 3 个工作日内归还。</w:t>
      </w:r>
    </w:p>
    <w:p>
      <w:pPr>
        <w:pStyle w:val="Heading2"/>
      </w:pPr>
      <w:r>
        <w:t>3. 密码策略</w:t>
      </w:r>
    </w:p>
    <w:p>
      <w:r>
        <w:t>密码长度不少于 12 位，需包含大小写字母、数字与特殊字符；每 90 天强制轮换。</w:t>
      </w:r>
    </w:p>
    <w:p>
      <w:r>
        <w:t>关键词：账号权限、VPN、双审批、安全审计、密码策略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