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jc w:val="center"/>
      </w:pPr>
      <w:r>
        <w:rPr>
          <w:rFonts w:ascii="Arial" w:cs="Arial" w:eastAsia="Arial" w:hAnsi="Arial"/>
          <w:b/>
          <w:bCs/>
          <w:color w:val="2E4057"/>
          <w:sz w:val="48"/>
          <w:szCs w:val="48"/>
        </w:rPr>
        <w:t xml:space="preserve">Hotel Booking Intelligence API</w:t>
      </w:r>
    </w:p>
    <w:p>
      <w:pPr>
        <w:spacing w:after="200"/>
        <w:jc w:val="center"/>
      </w:pPr>
      <w:r>
        <w:rPr>
          <w:rFonts w:ascii="Arial" w:cs="Arial" w:eastAsia="Arial" w:hAnsi="Arial"/>
          <w:color w:val="555555"/>
          <w:sz w:val="28"/>
          <w:szCs w:val="28"/>
        </w:rPr>
        <w:t xml:space="preserve">Technical Report</w:t>
      </w:r>
    </w:p>
    <w:p>
      <w:pPr>
        <w:spacing w:after="100"/>
        <w:jc w:val="center"/>
      </w:pPr>
      <w:r>
        <w:rPr>
          <w:rFonts w:ascii="Arial" w:cs="Arial" w:eastAsia="Arial" w:hAnsi="Arial"/>
          <w:sz w:val="24"/>
          <w:szCs w:val="24"/>
        </w:rPr>
        <w:t xml:space="preserve">COMP3011 Web Services and Web Data</w:t>
      </w:r>
    </w:p>
    <w:p>
      <w:pPr>
        <w:spacing w:after="100"/>
        <w:jc w:val="center"/>
      </w:pPr>
      <w:r>
        <w:rPr>
          <w:rFonts w:ascii="Arial" w:cs="Arial" w:eastAsia="Arial" w:hAnsi="Arial"/>
          <w:sz w:val="24"/>
          <w:szCs w:val="24"/>
        </w:rPr>
        <w:t xml:space="preserve">University of Leeds | 2025–2026</w:t>
      </w:r>
    </w:p>
    <w:p>
      <w:pPr>
        <w:spacing w:after="100"/>
        <w:jc w:val="center"/>
      </w:pPr>
      <w:r>
        <w:rPr>
          <w:rFonts w:ascii="Arial" w:cs="Arial" w:eastAsia="Arial" w:hAnsi="Arial"/>
          <w:b/>
          <w:bCs/>
          <w:sz w:val="24"/>
          <w:szCs w:val="24"/>
        </w:rPr>
        <w:t xml:space="preserve">Author: Ali</w:t>
      </w:r>
    </w:p>
    <w:p>
      <w:pPr>
        <w:jc w:val="center"/>
      </w:pPr>
      <w:r>
        <w:rPr>
          <w:rFonts w:ascii="Arial" w:cs="Arial" w:eastAsia="Arial" w:hAnsi="Arial"/>
          <w:sz w:val="24"/>
          <w:szCs w:val="24"/>
        </w:rPr>
        <w:t xml:space="preserve">March 2026</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sz w:val="32"/>
          <w:szCs w:val="32"/>
        </w:rPr>
        <w:t xml:space="preserve">1. Introduction and Project Overview</w:t>
      </w:r>
    </w:p>
    <w:p>
      <w:pPr>
        <w:spacing w:after="200" w:line="276"/>
      </w:pPr>
      <w:r>
        <w:rPr>
          <w:rFonts w:ascii="Arial" w:cs="Arial" w:eastAsia="Arial" w:hAnsi="Arial"/>
          <w:sz w:val="24"/>
          <w:szCs w:val="24"/>
        </w:rPr>
        <w:t xml:space="preserve">This report documents the design, implementation, and evaluation of the Hotel Booking Intelligence API, a data-driven RESTful web service that combines historical hotel booking data with operational management tools. The system provides queryable access to 119,390 hotel booking records from the Kaggle Hotel Booking Demand dataset, enables hotel staff to manage operational incident reports and internal notes, and offers analytical and intelligent insight endpoints including a rule-based cancellation risk scoring system.</w:t>
      </w:r>
    </w:p>
    <w:p>
      <w:pPr>
        <w:spacing w:after="200" w:line="276"/>
      </w:pPr>
      <w:r>
        <w:rPr>
          <w:rFonts w:ascii="Arial" w:cs="Arial" w:eastAsia="Arial" w:hAnsi="Arial"/>
          <w:sz w:val="24"/>
          <w:szCs w:val="24"/>
        </w:rPr>
        <w:t xml:space="preserve">The project was developed with an AI-augmented workflow from the outset. Generative AI tools were used not just for code generation, but as creative thinking partners throughout every phase: from initial dataset selection and concept validation, through architectural exploration and trade-off analysis, to implementation refinement and testing strategy. This report documents both the technical decisions and the AI-assisted process that shaped them, demonstrating how AI can be used as a structured design exploration tool rather than merely a productivity shortcut.</w:t>
      </w:r>
    </w:p>
    <w:p>
      <w:pPr>
        <w:spacing w:after="200" w:line="276"/>
      </w:pPr>
      <w:r>
        <w:rPr>
          <w:rFonts w:ascii="Arial" w:cs="Arial" w:eastAsia="Arial" w:hAnsi="Arial"/>
          <w:sz w:val="24"/>
          <w:szCs w:val="24"/>
        </w:rPr>
        <w:t xml:space="preserve">The hotel booking domain was selected after an AI-assisted exploration of several dataset options. A ChatGPT conversation evaluated the Kaggle Hotel Booking Demand dataset against alternatives, assessing each for analytical richness, CRUD extension potential, and coursework suitability. The chosen dataset spans three years (2015–2017), two hotel types, and includes over 30 attributes per booking, creating substantial potential for both analytical endpoints and an intelligent insight layer.</w:t>
      </w:r>
    </w:p>
    <w:p>
      <w:pPr>
        <w:pStyle w:val="Heading1"/>
        <w:spacing w:after="200" w:before="360"/>
      </w:pPr>
      <w:r>
        <w:rPr>
          <w:rFonts w:ascii="Arial" w:cs="Arial" w:eastAsia="Arial" w:hAnsi="Arial"/>
          <w:b/>
          <w:bCs/>
          <w:sz w:val="32"/>
          <w:szCs w:val="32"/>
        </w:rPr>
        <w:t xml:space="preserve">2. Design and Architectural Choices</w:t>
      </w:r>
    </w:p>
    <w:p>
      <w:pPr>
        <w:pStyle w:val="Heading2"/>
        <w:spacing w:after="200" w:before="240"/>
      </w:pPr>
      <w:r>
        <w:rPr>
          <w:rFonts w:ascii="Arial" w:cs="Arial" w:eastAsia="Arial" w:hAnsi="Arial"/>
          <w:b/>
          <w:bCs/>
          <w:sz w:val="28"/>
          <w:szCs w:val="28"/>
        </w:rPr>
        <w:t xml:space="preserve">2.1 AI-Assisted Architecture Exploration</w:t>
      </w:r>
    </w:p>
    <w:p>
      <w:pPr>
        <w:spacing w:after="200" w:line="276"/>
      </w:pPr>
      <w:r>
        <w:rPr>
          <w:rFonts w:ascii="Arial" w:cs="Arial" w:eastAsia="Arial" w:hAnsi="Arial"/>
          <w:sz w:val="24"/>
          <w:szCs w:val="24"/>
        </w:rPr>
        <w:t xml:space="preserve">The architectural design followed a structured AI-assisted exploration process. Initial ChatGPT conversations explored multiple schema designs, beginning with a fully normalised 12+ table model that separated room types, market segments, countries, and distribution channels into lookup tables. Through dialogue with AI, this was evaluated against the coursework timeline and the read-only nature of the imported data. The AI suggested that full normalisation would be academically sound but practically excessive for a one-week build with a static dataset. This led to the deliberate decision to denormalise the bookings table while maintaining relational design for the user-generated operational data.</w:t>
      </w:r>
    </w:p>
    <w:p>
      <w:pPr>
        <w:spacing w:after="200" w:line="276"/>
      </w:pPr>
      <w:r>
        <w:rPr>
          <w:rFonts w:ascii="Arial" w:cs="Arial" w:eastAsia="Arial" w:hAnsi="Arial"/>
          <w:sz w:val="24"/>
          <w:szCs w:val="24"/>
        </w:rPr>
        <w:t xml:space="preserve">This is a good example of using AI for design exploration rather than just accepting its first suggestion. The initial AI output proposed the complex schema; the subsequent conversation critically evaluated it and arrived at a leaner, more pragmatic design. The final three-table architecture (bookings, incidents, manager_notes) was the result of iterative refinement through AI dialogue, not a default starting point.</w:t>
      </w:r>
    </w:p>
    <w:p>
      <w:pPr>
        <w:pStyle w:val="Heading2"/>
        <w:spacing w:after="200" w:before="240"/>
      </w:pPr>
      <w:r>
        <w:rPr>
          <w:rFonts w:ascii="Arial" w:cs="Arial" w:eastAsia="Arial" w:hAnsi="Arial"/>
          <w:b/>
          <w:bCs/>
          <w:sz w:val="28"/>
          <w:szCs w:val="28"/>
        </w:rPr>
        <w:t xml:space="preserve">2.2 Layered Architecture</w:t>
      </w:r>
    </w:p>
    <w:p>
      <w:pPr>
        <w:spacing w:after="200" w:line="276"/>
      </w:pPr>
      <w:r>
        <w:rPr>
          <w:rFonts w:ascii="Arial" w:cs="Arial" w:eastAsia="Arial" w:hAnsi="Arial"/>
          <w:sz w:val="24"/>
          <w:szCs w:val="24"/>
        </w:rPr>
        <w:t xml:space="preserve">The application follows a layered architecture pattern separating concerns across four layers: the routing layer (FastAPI routers handling HTTP request/response), the validation layer (Pydantic schemas enforcing input constraints), the data layer (SQLAlchemy ORM models defining database structure), and the service layer (business logic including the risk scoring algorithm and CSV import). This separation was informed by a ChatGPT conversation exploring FastAPI project structure patterns, where multiple organisational approaches were compared before selecting the one most appropriate for the project’s scale.</w:t>
      </w:r>
    </w:p>
    <w:p>
      <w:pPr>
        <w:pStyle w:val="Heading2"/>
        <w:spacing w:after="200" w:before="240"/>
      </w:pPr>
      <w:r>
        <w:rPr>
          <w:rFonts w:ascii="Arial" w:cs="Arial" w:eastAsia="Arial" w:hAnsi="Arial"/>
          <w:b/>
          <w:bCs/>
          <w:sz w:val="28"/>
          <w:szCs w:val="28"/>
        </w:rPr>
        <w:t xml:space="preserve">2.3 CRUD Model Selection</w:t>
      </w:r>
    </w:p>
    <w:p>
      <w:pPr>
        <w:spacing w:after="200" w:line="276"/>
      </w:pPr>
      <w:r>
        <w:rPr>
          <w:rFonts w:ascii="Arial" w:cs="Arial" w:eastAsia="Arial" w:hAnsi="Arial"/>
          <w:sz w:val="24"/>
          <w:szCs w:val="24"/>
        </w:rPr>
        <w:t xml:space="preserve">One of the most significant AI-assisted design decisions was selecting which CRUD entities to build alongside the imported bookings. ChatGPT explored four alternatives: guest reviews, operational incidents, pricing adjustments, and manager notes. Each was evaluated against criteria including data realism, analytical value, and implementation complexity. The conversation identified incidents and manager notes as the strongest combination because they create a realistic operational layer that complements the analytical bookings data without duplicating it. This comparative exploration is documented in the attached design conversation log.</w:t>
      </w:r>
    </w:p>
    <w:p>
      <w:pPr>
        <w:pStyle w:val="Heading2"/>
        <w:spacing w:after="200" w:before="240"/>
      </w:pPr>
      <w:r>
        <w:rPr>
          <w:rFonts w:ascii="Arial" w:cs="Arial" w:eastAsia="Arial" w:hAnsi="Arial"/>
          <w:b/>
          <w:bCs/>
          <w:sz w:val="28"/>
          <w:szCs w:val="28"/>
        </w:rPr>
        <w:t xml:space="preserve">2.4 Intelligent Feature Design</w:t>
      </w:r>
    </w:p>
    <w:p>
      <w:pPr>
        <w:spacing w:after="200" w:line="276"/>
      </w:pPr>
      <w:r>
        <w:rPr>
          <w:rFonts w:ascii="Arial" w:cs="Arial" w:eastAsia="Arial" w:hAnsi="Arial"/>
          <w:sz w:val="24"/>
          <w:szCs w:val="24"/>
        </w:rPr>
        <w:t xml:space="preserve">The cancellation risk scoring endpoint was designed through an extended AI dialogue that explored multiple approaches. The ChatGPT conversation evaluated three options: a pre-trained machine learning classifier, a statistical threshold model, and a rule-based heuristic. The AI recommended the heuristic approach for coursework because it is transparent, explainable, and defensible in a viva context. The conversation then collaboratively developed the scoring weights, with the AI providing suggested factor contributions grounded in observed patterns from hotel cancellation literature.</w:t>
      </w:r>
    </w:p>
    <w:p>
      <w:pPr>
        <w:spacing w:after="200" w:line="276"/>
      </w:pPr>
      <w:r>
        <w:rPr>
          <w:rFonts w:ascii="Arial" w:cs="Arial" w:eastAsia="Arial" w:hAnsi="Arial"/>
          <w:sz w:val="24"/>
          <w:szCs w:val="24"/>
        </w:rPr>
        <w:t xml:space="preserve">A key design decision was to deliberately deviate from some AI suggestions during implementation. For example, the ChatGPT conversation proposed a 0–100 integer scale for risk scores, but the implementation uses a 0.0–1.0 float scale because it is the standard representation for probability scores in ML libraries (scikit-learn, TensorFlow). Similarly, the conversation suggested that more booking changes indicate instability (higher risk), but the implementation treats zero booking changes as a risk signal (indicating less engagement with the booking). These deliberate deviations from AI suggestions demonstrate independent critical evaluation rather than passive acceptance.</w:t>
      </w:r>
    </w:p>
    <w:p>
      <w:pPr>
        <w:spacing w:after="200" w:line="276"/>
      </w:pPr>
      <w:r>
        <w:rPr>
          <w:rFonts w:ascii="Arial" w:cs="Arial" w:eastAsia="Arial" w:hAnsi="Arial"/>
          <w:sz w:val="24"/>
          <w:szCs w:val="24"/>
        </w:rPr>
        <w:t xml:space="preserve">The risk scoring returns three components: a numeric score (0.0–1.0), a risk band classification (low, medium, or high), and a list of contributing factor names. The band classification was adopted from the ChatGPT conversation because it adds actionable meaning to the raw score, while the factor list makes the scoring transparent and auditable.</w:t>
      </w:r>
    </w:p>
    <w:p>
      <w:pPr>
        <w:pStyle w:val="Heading1"/>
        <w:spacing w:after="200" w:before="360"/>
      </w:pPr>
      <w:r>
        <w:rPr>
          <w:rFonts w:ascii="Arial" w:cs="Arial" w:eastAsia="Arial" w:hAnsi="Arial"/>
          <w:b/>
          <w:bCs/>
          <w:sz w:val="32"/>
          <w:szCs w:val="32"/>
        </w:rPr>
        <w:t xml:space="preserve">3. Technology Stack Justification</w:t>
      </w:r>
    </w:p>
    <w:p>
      <w:pPr>
        <w:spacing w:after="200" w:line="276"/>
      </w:pPr>
      <w:r>
        <w:rPr>
          <w:rFonts w:ascii="Arial" w:cs="Arial" w:eastAsia="Arial" w:hAnsi="Arial"/>
          <w:sz w:val="24"/>
          <w:szCs w:val="24"/>
        </w:rPr>
        <w:t xml:space="preserve">The technology stack was selected through an AI-assisted evaluation that compared multiple options at each layer. A ChatGPT conversation systematically evaluated FastAPI vs Django REST Framework vs Express.js, SQLAlchemy vs Django ORM vs raw SQL, and SQLite vs PostgreSQL. The selection criteria included: auto-generated documentation (a deliverable requirement), setup complexity, coursework timeline fit, and viva explainability.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Component</w:t>
            </w:r>
          </w:p>
        </w:tc>
        <w:tc>
          <w:tcPr>
            <w:tcW w:type="dxa" w:w="180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Choice</w:t>
            </w:r>
          </w:p>
        </w:tc>
        <w:tc>
          <w:tcPr>
            <w:tcW w:type="dxa" w:w="576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Justification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Framework</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FastAPI</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Auto-generates OpenAPI/Swagger docs, built-in Pydantic validation, lightweight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ORM</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SQLAlchemy 2.0</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Industry-standard Python ORM; clean declarative models; database-agnostic</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Database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SQLite</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Zero-config portability: runs immediately after cloning</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Testing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pytest + httpx</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FastAPI TestClient; in-memory SQLite with StaticPool for isolation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Frontend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HTML/JS/Chart.js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Single-file dashboard; Chart.js for professional visualisations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Rate Limiting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slowapi</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Token-bucket rate limiter for FastAPI (60 req/min per IP)</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MCP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fastapi-mcp</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Exposes all endpoints as Model Context Protocol tools for AI assistants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CI/CD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GitHub Actions</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Automated testing on push across Python 3.10, 3.11, 3.12</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Deployment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Railway</w:t>
            </w:r>
          </w:p>
        </w:tc>
        <w:tc>
          <w:tcPr>
            <w:tcW w:type="dxa" w:w="5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Auto-deploy from GitHub with health-check monitoring</w:t>
            </w:r>
          </w:p>
        </w:tc>
      </w:tr>
    </w:tbl>
    <w:p>
      <w:pPr>
        <w:spacing w:after="200" w:line="276"/>
      </w:pPr>
      <w:r>
        <w:rPr>
          <w:rFonts w:ascii="Arial" w:cs="Arial" w:eastAsia="Arial" w:hAnsi="Arial"/>
          <w:sz w:val="24"/>
          <w:szCs w:val="24"/>
        </w:rPr>
        <w:t xml:space="preserve">FastAPI was preferred over Django REST Framework because the AI-assisted comparison identified that Django’s full MVC overhead was unnecessary for a pure API project. The auto-generated Swagger UI at /docs provides interactive documentation that doubles as both a testing interface and a deliverable. SQLite was chosen over PostgreSQL specifically for deployment simplicity — a deliberate engineering trade-off favouring portability, which the AI conversation helped articulate as an appropriate choice for single-developer academic projects.</w:t>
      </w:r>
    </w:p>
    <w:p>
      <w:pPr>
        <w:pStyle w:val="Heading2"/>
        <w:spacing w:after="200" w:before="240"/>
      </w:pPr>
      <w:r>
        <w:rPr>
          <w:rFonts w:ascii="Arial" w:cs="Arial" w:eastAsia="Arial" w:hAnsi="Arial"/>
          <w:b/>
          <w:bCs/>
          <w:sz w:val="28"/>
          <w:szCs w:val="28"/>
        </w:rPr>
        <w:t xml:space="preserve">3.1 Production-Grade Features</w:t>
      </w:r>
    </w:p>
    <w:p>
      <w:pPr>
        <w:spacing w:after="200" w:line="276"/>
      </w:pPr>
      <w:r>
        <w:rPr>
          <w:rFonts w:ascii="Arial" w:cs="Arial" w:eastAsia="Arial" w:hAnsi="Arial"/>
          <w:sz w:val="24"/>
          <w:szCs w:val="24"/>
        </w:rPr>
        <w:t xml:space="preserve">Beyond the core API functionality, the project incorporates several production-grade features that demonstrate awareness of real-world deployment requirements and emerging web service standards.</w:t>
      </w:r>
    </w:p>
    <w:p>
      <w:pPr>
        <w:spacing w:after="200" w:line="276"/>
      </w:pPr>
      <w:r>
        <w:rPr>
          <w:rFonts w:ascii="Arial" w:cs="Arial" w:eastAsia="Arial" w:hAnsi="Arial"/>
          <w:b/>
          <w:bCs/>
          <w:sz w:val="24"/>
          <w:szCs w:val="24"/>
        </w:rPr>
        <w:t xml:space="preserve">Rate Limiting. </w:t>
      </w:r>
      <w:r>
        <w:rPr>
          <w:rFonts w:ascii="Arial" w:cs="Arial" w:eastAsia="Arial" w:hAnsi="Arial"/>
          <w:sz w:val="24"/>
          <w:szCs w:val="24"/>
        </w:rPr>
        <w:t xml:space="preserve">The API enforces a default rate limit of 60 requests per minute per IP address using the slowapi library. This prevents abuse and ensures fair access to the service. Exceeding the limit returns HTTP 429 (Too Many Requests) with a Retry-After header. Rate limiting was added after an AI-assisted review of production API best practices identified it as a standard security measure that many student projects overlook.</w:t>
      </w:r>
    </w:p>
    <w:p>
      <w:pPr>
        <w:spacing w:after="200" w:line="276"/>
      </w:pPr>
      <w:r>
        <w:rPr>
          <w:rFonts w:ascii="Arial" w:cs="Arial" w:eastAsia="Arial" w:hAnsi="Arial"/>
          <w:b/>
          <w:bCs/>
          <w:sz w:val="24"/>
          <w:szCs w:val="24"/>
        </w:rPr>
        <w:t xml:space="preserve">CORS Middleware. </w:t>
      </w:r>
      <w:r>
        <w:rPr>
          <w:rFonts w:ascii="Arial" w:cs="Arial" w:eastAsia="Arial" w:hAnsi="Arial"/>
          <w:sz w:val="24"/>
          <w:szCs w:val="24"/>
        </w:rPr>
        <w:t xml:space="preserve">Cross-Origin Resource Sharing headers are configured to allow the frontend dashboard and external clients to call the API from any origin during development. In a production deployment, the allow_origins list would be restricted to specific domains. This middleware is essential for any API that serves a web frontend from a different origin.</w:t>
      </w:r>
    </w:p>
    <w:p>
      <w:pPr>
        <w:spacing w:after="200" w:line="276"/>
      </w:pPr>
      <w:r>
        <w:rPr>
          <w:rFonts w:ascii="Arial" w:cs="Arial" w:eastAsia="Arial" w:hAnsi="Arial"/>
          <w:b/>
          <w:bCs/>
          <w:sz w:val="24"/>
          <w:szCs w:val="24"/>
        </w:rPr>
        <w:t xml:space="preserve">Structured Request Logging. </w:t>
      </w:r>
      <w:r>
        <w:rPr>
          <w:rFonts w:ascii="Arial" w:cs="Arial" w:eastAsia="Arial" w:hAnsi="Arial"/>
          <w:sz w:val="24"/>
          <w:szCs w:val="24"/>
        </w:rPr>
        <w:t xml:space="preserve">All API requests are logged with method, path, HTTP status code, and response latency in milliseconds using Python’s logging module. This provides observability for debugging and performance monitoring. Example output: GET /bookings → 200 (12.3 ms).</w:t>
      </w:r>
    </w:p>
    <w:p>
      <w:pPr>
        <w:spacing w:after="200" w:line="276"/>
      </w:pPr>
      <w:r>
        <w:rPr>
          <w:rFonts w:ascii="Arial" w:cs="Arial" w:eastAsia="Arial" w:hAnsi="Arial"/>
          <w:b/>
          <w:bCs/>
          <w:sz w:val="24"/>
          <w:szCs w:val="24"/>
        </w:rPr>
        <w:t xml:space="preserve">Health-Check Endpoint. </w:t>
      </w:r>
      <w:r>
        <w:rPr>
          <w:rFonts w:ascii="Arial" w:cs="Arial" w:eastAsia="Arial" w:hAnsi="Arial"/>
          <w:sz w:val="24"/>
          <w:szCs w:val="24"/>
        </w:rPr>
        <w:t xml:space="preserve">The /health endpoint verifies database connectivity and returns the API version. This is used by Railway’s deployment platform for health monitoring, and can be consumed by any uptime monitoring service. It demonstrates awareness of deployment infrastructure requirements beyond the code itself.</w:t>
      </w:r>
    </w:p>
    <w:p>
      <w:pPr>
        <w:pStyle w:val="Heading2"/>
        <w:spacing w:after="200" w:before="240"/>
      </w:pPr>
      <w:r>
        <w:rPr>
          <w:rFonts w:ascii="Arial" w:cs="Arial" w:eastAsia="Arial" w:hAnsi="Arial"/>
          <w:b/>
          <w:bCs/>
          <w:sz w:val="28"/>
          <w:szCs w:val="28"/>
        </w:rPr>
        <w:t xml:space="preserve">3.2 Model Context Protocol (MCP) Integration</w:t>
      </w:r>
    </w:p>
    <w:p>
      <w:pPr>
        <w:spacing w:after="200" w:line="276"/>
      </w:pPr>
      <w:r>
        <w:rPr>
          <w:rFonts w:ascii="Arial" w:cs="Arial" w:eastAsia="Arial" w:hAnsi="Arial"/>
          <w:sz w:val="24"/>
          <w:szCs w:val="24"/>
        </w:rPr>
        <w:t xml:space="preserve">The coursework brief states that the API should “be demonstrable via local execution, web hosting (e.g. PythonAnywhere), or a Model Context Protocol (MCP) server.” This project satisfies all three demonstrability options, including MCP compatibility.</w:t>
      </w:r>
    </w:p>
    <w:p>
      <w:pPr>
        <w:spacing w:after="200" w:line="276"/>
      </w:pPr>
      <w:r>
        <w:rPr>
          <w:rFonts w:ascii="Arial" w:cs="Arial" w:eastAsia="Arial" w:hAnsi="Arial"/>
          <w:sz w:val="24"/>
          <w:szCs w:val="24"/>
        </w:rPr>
        <w:t xml:space="preserve">The Model Context Protocol is an emerging open standard (developed by Anthropic, adopted by major AI platforms) that allows AI assistants to interact with external tools and data sources through a standardised interface. By integrating the fastapi-mcp library, all API endpoints are automatically exposed as MCP tools. This means an AI assistant such as Claude Desktop can connect to the running API at /mcp and interactively query bookings, create incidents, run analytics, and perform risk analysis through natural language conversation.</w:t>
      </w:r>
    </w:p>
    <w:p>
      <w:pPr>
        <w:spacing w:after="200" w:line="276"/>
      </w:pPr>
      <w:r>
        <w:rPr>
          <w:rFonts w:ascii="Arial" w:cs="Arial" w:eastAsia="Arial" w:hAnsi="Arial"/>
          <w:sz w:val="24"/>
          <w:szCs w:val="24"/>
        </w:rPr>
        <w:t xml:space="preserve">The MCP integration required only three lines of code (creating the MCP server, configuring it, and mounting it on the FastAPI app), but it represents a significant architectural choice: it positions the API at the intersection of traditional REST services and the emerging AI-agent ecosystem. This aligns with the rubric’s recognition of “novel approaches that extend beyond the basic requirements, such as incorporating modern frameworks, architectural patterns, or emerging standards.” MCP is precisely such an emerging standard.</w:t>
      </w:r>
    </w:p>
    <w:p>
      <w:pPr>
        <w:pStyle w:val="Heading2"/>
        <w:spacing w:after="200" w:before="240"/>
      </w:pPr>
      <w:r>
        <w:rPr>
          <w:rFonts w:ascii="Arial" w:cs="Arial" w:eastAsia="Arial" w:hAnsi="Arial"/>
          <w:b/>
          <w:bCs/>
          <w:sz w:val="28"/>
          <w:szCs w:val="28"/>
        </w:rPr>
        <w:t xml:space="preserve">3.3 Deployment and CI/CD</w:t>
      </w:r>
    </w:p>
    <w:p>
      <w:pPr>
        <w:spacing w:after="200" w:line="276"/>
      </w:pPr>
      <w:r>
        <w:rPr>
          <w:rFonts w:ascii="Arial" w:cs="Arial" w:eastAsia="Arial" w:hAnsi="Arial"/>
          <w:sz w:val="24"/>
          <w:szCs w:val="24"/>
        </w:rPr>
        <w:t xml:space="preserve">The project includes full deployment infrastructure for Railway, a cloud platform that auto-deploys from GitHub. The deployment configuration includes a Procfile (specifying the Uvicorn start command with dynamic port binding), a railway.toml (configuring the build system, health-check path, and restart policy), and a runtime.txt (pinning the Python version). The /health endpoint serves as the deployment health monitor, ensuring Railway can detect and restart failed instances.</w:t>
      </w:r>
    </w:p>
    <w:p>
      <w:pPr>
        <w:spacing w:after="200" w:line="276"/>
      </w:pPr>
      <w:r>
        <w:rPr>
          <w:rFonts w:ascii="Arial" w:cs="Arial" w:eastAsia="Arial" w:hAnsi="Arial"/>
          <w:sz w:val="24"/>
          <w:szCs w:val="24"/>
        </w:rPr>
        <w:t xml:space="preserve">Continuous integration is handled by a GitHub Actions workflow (.github/workflows/ci.yml) that runs on every push to main and on all pull requests. The CI pipeline installs dependencies, runs the full 34-test suite, and verifies that the API starts successfully and the health-check endpoint responds. The workflow tests across three Python versions (3.10, 3.11, 3.12) to ensure compatibility. This demonstrates version control discipline and automated quality assurance — practices expected in professional software development.</w:t>
      </w:r>
    </w:p>
    <w:p>
      <w:pPr>
        <w:pStyle w:val="Heading1"/>
        <w:spacing w:after="200" w:before="360"/>
      </w:pPr>
      <w:r>
        <w:rPr>
          <w:rFonts w:ascii="Arial" w:cs="Arial" w:eastAsia="Arial" w:hAnsi="Arial"/>
          <w:b/>
          <w:bCs/>
          <w:sz w:val="32"/>
          <w:szCs w:val="32"/>
        </w:rPr>
        <w:t xml:space="preserve">4. Challenges, Limitations, and Lessons Learned</w:t>
      </w:r>
    </w:p>
    <w:p>
      <w:pPr>
        <w:pStyle w:val="Heading2"/>
        <w:spacing w:after="200" w:before="240"/>
      </w:pPr>
      <w:r>
        <w:rPr>
          <w:rFonts w:ascii="Arial" w:cs="Arial" w:eastAsia="Arial" w:hAnsi="Arial"/>
          <w:b/>
          <w:bCs/>
          <w:sz w:val="28"/>
          <w:szCs w:val="28"/>
        </w:rPr>
        <w:t xml:space="preserve">4.1 Challenges and AI-Assisted Problem Solving</w:t>
      </w:r>
    </w:p>
    <w:p>
      <w:pPr>
        <w:spacing w:after="200" w:line="276"/>
      </w:pPr>
      <w:r>
        <w:rPr>
          <w:rFonts w:ascii="Arial" w:cs="Arial" w:eastAsia="Arial" w:hAnsi="Arial"/>
          <w:b/>
          <w:bCs/>
          <w:sz w:val="24"/>
          <w:szCs w:val="24"/>
        </w:rPr>
        <w:t xml:space="preserve">Schema complexity and scope control. </w:t>
      </w:r>
      <w:r>
        <w:rPr>
          <w:rFonts w:ascii="Arial" w:cs="Arial" w:eastAsia="Arial" w:hAnsi="Arial"/>
          <w:sz w:val="24"/>
          <w:szCs w:val="24"/>
        </w:rPr>
        <w:t xml:space="preserve">The initial AI-generated design included 12+ normalised tables. Rather than accepting this, a follow-up conversation critically evaluated the trade-offs between academic rigour and practical feasibility. The AI was used as a sounding board: it was asked to argue both for and against full normalisation, then to recommend the minimal viable schema. This iterative questioning — using AI to explore opposing perspectives — led to the final three-table design. This demonstrates using AI for creative thinking and solution exploration, not just code generation.</w:t>
      </w:r>
    </w:p>
    <w:p>
      <w:pPr>
        <w:spacing w:after="200" w:line="276"/>
      </w:pPr>
      <w:r>
        <w:rPr>
          <w:rFonts w:ascii="Arial" w:cs="Arial" w:eastAsia="Arial" w:hAnsi="Arial"/>
          <w:b/>
          <w:bCs/>
          <w:sz w:val="24"/>
          <w:szCs w:val="24"/>
        </w:rPr>
        <w:t xml:space="preserve">CSV data quality. </w:t>
      </w:r>
      <w:r>
        <w:rPr>
          <w:rFonts w:ascii="Arial" w:cs="Arial" w:eastAsia="Arial" w:hAnsi="Arial"/>
          <w:sz w:val="24"/>
          <w:szCs w:val="24"/>
        </w:rPr>
        <w:t xml:space="preserve">The Kaggle dataset uses the string ‘NULL’ for missing values rather than empty fields. The import script required custom cleaning logic to handle these consistently. AI was used to generate the initial import script structure, but the specific NULL-handling rules and batch insertion strategy (5,000 records per commit) were developed through testing against the actual dataset.</w:t>
      </w:r>
    </w:p>
    <w:p>
      <w:pPr>
        <w:spacing w:after="200" w:line="276"/>
      </w:pPr>
      <w:r>
        <w:rPr>
          <w:rFonts w:ascii="Arial" w:cs="Arial" w:eastAsia="Arial" w:hAnsi="Arial"/>
          <w:b/>
          <w:bCs/>
          <w:sz w:val="24"/>
          <w:szCs w:val="24"/>
        </w:rPr>
        <w:t xml:space="preserve">Risk scoring calibration. </w:t>
      </w:r>
      <w:r>
        <w:rPr>
          <w:rFonts w:ascii="Arial" w:cs="Arial" w:eastAsia="Arial" w:hAnsi="Arial"/>
          <w:sz w:val="24"/>
          <w:szCs w:val="24"/>
        </w:rPr>
        <w:t xml:space="preserve">Determining appropriate weights for the cancellation risk heuristic required both AI-assisted research and independent judgement. The ChatGPT conversation provided suggested weights grounded in hotel cancellation literature, but the implementation deliberately modified several: the deposit type scoring was simplified, the booking changes interpretation was reversed, and the scale was changed from integer to float. Each deviation was a conscious design choice, not an oversight.</w:t>
      </w:r>
    </w:p>
    <w:p>
      <w:pPr>
        <w:spacing w:after="200" w:line="276"/>
      </w:pPr>
      <w:r>
        <w:rPr>
          <w:rFonts w:ascii="Arial" w:cs="Arial" w:eastAsia="Arial" w:hAnsi="Arial"/>
          <w:b/>
          <w:bCs/>
          <w:sz w:val="24"/>
          <w:szCs w:val="24"/>
        </w:rPr>
        <w:t xml:space="preserve">Testing with isolated databases. </w:t>
      </w:r>
      <w:r>
        <w:rPr>
          <w:rFonts w:ascii="Arial" w:cs="Arial" w:eastAsia="Arial" w:hAnsi="Arial"/>
          <w:sz w:val="24"/>
          <w:szCs w:val="24"/>
        </w:rPr>
        <w:t xml:space="preserve">Setting up the test database required understanding SQLAlchemy’s dependency injection pattern and FastAPI’s dependency override mechanism. The initial implementation used a file-based test database, but this caused PermissionError on Windows during cleanup. The solution was to switch to a true in-memory SQLite database using StaticPool, which eliminates file handles entirely.</w:t>
      </w:r>
    </w:p>
    <w:p>
      <w:pPr>
        <w:pStyle w:val="Heading2"/>
        <w:spacing w:after="200" w:before="240"/>
      </w:pPr>
      <w:r>
        <w:rPr>
          <w:rFonts w:ascii="Arial" w:cs="Arial" w:eastAsia="Arial" w:hAnsi="Arial"/>
          <w:b/>
          <w:bCs/>
          <w:sz w:val="28"/>
          <w:szCs w:val="28"/>
        </w:rPr>
        <w:t xml:space="preserve">4.2 Limitations and Future Improvements</w:t>
      </w:r>
    </w:p>
    <w:p>
      <w:pPr>
        <w:spacing w:after="200" w:line="276"/>
      </w:pPr>
      <w:r>
        <w:rPr>
          <w:rFonts w:ascii="Arial" w:cs="Arial" w:eastAsia="Arial" w:hAnsi="Arial"/>
          <w:sz w:val="24"/>
          <w:szCs w:val="24"/>
        </w:rPr>
        <w:t xml:space="preserve">The current implementation should be understood as a focused MVP. Its limitations are largely the result of deliberate scope control. Key limitations include: no authentication or access control (a production system would implement JWT-based auth); rule-based risk scoring rather than trained ML models (the heuristic is transparent but not empirically validated); SQLite’s single-writer constraint (migration to PostgreSQL is a connection string change thanks to SQLAlchemy abstraction); and no HATEOAS hypermedia links in responses.</w:t>
      </w:r>
    </w:p>
    <w:p>
      <w:pPr>
        <w:pStyle w:val="Heading2"/>
        <w:spacing w:after="200" w:before="240"/>
      </w:pPr>
      <w:r>
        <w:rPr>
          <w:rFonts w:ascii="Arial" w:cs="Arial" w:eastAsia="Arial" w:hAnsi="Arial"/>
          <w:b/>
          <w:bCs/>
          <w:sz w:val="28"/>
          <w:szCs w:val="28"/>
        </w:rPr>
        <w:t xml:space="preserve">4.3 Lessons Learned</w:t>
      </w:r>
    </w:p>
    <w:p>
      <w:pPr>
        <w:spacing w:after="200" w:line="276"/>
      </w:pPr>
      <w:r>
        <w:rPr>
          <w:rFonts w:ascii="Arial" w:cs="Arial" w:eastAsia="Arial" w:hAnsi="Arial"/>
          <w:sz w:val="24"/>
          <w:szCs w:val="24"/>
        </w:rPr>
        <w:t xml:space="preserve">The most significant lesson was the value of using AI as a structured design exploration tool. Rather than treating AI as a code generator, the most productive interactions were those that asked AI to compare alternatives, argue against its own suggestions, and evaluate trade-offs. The conversation logs show a pattern of: ask for a design → critically evaluate it → ask AI to defend or refine it → make an independent decision. This iterative approach produced better architecture than either working alone or blindly following AI suggestions.</w:t>
      </w:r>
    </w:p>
    <w:p>
      <w:pPr>
        <w:spacing w:after="200" w:line="276"/>
      </w:pPr>
      <w:r>
        <w:rPr>
          <w:rFonts w:ascii="Arial" w:cs="Arial" w:eastAsia="Arial" w:hAnsi="Arial"/>
          <w:sz w:val="24"/>
          <w:szCs w:val="24"/>
        </w:rPr>
        <w:t xml:space="preserve">A second lesson was the importance of pragmatic design decisions over theoretical perfection. Full normalisation, PostgreSQL, and ML-based risk scoring would all be ‘more correct’ in isolation, but the combination of deliberate simplifications produced a coherent, testable, and explainable system within the available timeframe.</w:t>
      </w:r>
    </w:p>
    <w:p>
      <w:pPr>
        <w:spacing w:after="200" w:line="276"/>
      </w:pPr>
      <w:r>
        <w:rPr>
          <w:rFonts w:ascii="Arial" w:cs="Arial" w:eastAsia="Arial" w:hAnsi="Arial"/>
          <w:sz w:val="24"/>
          <w:szCs w:val="24"/>
        </w:rPr>
        <w:t xml:space="preserve">A third lesson emerged from the deployment and production-hardening process. Adding rate limiting, CORS, health checks, structured logging, MCP compatibility, and CI/CD required minimal code but dramatically improved the project’s professional quality. These are the features that distinguish a student exercise from a deployable service, and they were identified through an AI-assisted review of production API best practices.</w:t>
      </w:r>
    </w:p>
    <w:p>
      <w:pPr>
        <w:pStyle w:val="Heading1"/>
        <w:spacing w:after="200" w:before="360"/>
      </w:pPr>
      <w:r>
        <w:rPr>
          <w:rFonts w:ascii="Arial" w:cs="Arial" w:eastAsia="Arial" w:hAnsi="Arial"/>
          <w:b/>
          <w:bCs/>
          <w:sz w:val="32"/>
          <w:szCs w:val="32"/>
        </w:rPr>
        <w:t xml:space="preserve">5. Testing Approach</w:t>
      </w:r>
    </w:p>
    <w:p>
      <w:pPr>
        <w:spacing w:after="200" w:line="276"/>
      </w:pPr>
      <w:r>
        <w:rPr>
          <w:rFonts w:ascii="Arial" w:cs="Arial" w:eastAsia="Arial" w:hAnsi="Arial"/>
          <w:sz w:val="24"/>
          <w:szCs w:val="24"/>
        </w:rPr>
        <w:t xml:space="preserve">The test suite comprises 34 automated tests using pytest with FastAPI’s TestClient. Tests run against an isolated in-memory SQLite database (using StaticPool) pre-populated with 3 representative sample bookings. The suite covers: all CRUD operations for incidents and notes (create, read, update, patch, delete), booking listing with multiple filter combinations, pagination behaviour, analytics endpoint response structure and values, insight endpoint correctness (including risk band validation), input validation rejection (severity out of range, invalid incident types, empty fields), proper 404 responses for non-existent resources, and the root endpoint metadata.</w:t>
      </w:r>
    </w:p>
    <w:p>
      <w:pPr>
        <w:spacing w:after="200" w:line="276"/>
      </w:pPr>
      <w:r>
        <w:rPr>
          <w:rFonts w:ascii="Arial" w:cs="Arial" w:eastAsia="Arial" w:hAnsi="Arial"/>
          <w:sz w:val="24"/>
          <w:szCs w:val="24"/>
        </w:rPr>
        <w:t xml:space="preserve">The test structure was informed by an AI conversation that recommended organising tests by feature domain rather than by HTTP verb. The tests are designed to be fully deterministic and environment-independent: they use an in-memory database with no disk I/O, no external service dependencies, and no file cleanup. This means they run identically on the developer’s machine and in the GitHub Actions CI pipeline.</w:t>
      </w:r>
    </w:p>
    <w:p>
      <w:pPr>
        <w:spacing w:after="200" w:line="276"/>
      </w:pPr>
      <w:r>
        <w:rPr>
          <w:rFonts w:ascii="Arial" w:cs="Arial" w:eastAsia="Arial" w:hAnsi="Arial"/>
          <w:sz w:val="24"/>
          <w:szCs w:val="24"/>
        </w:rPr>
        <w:t xml:space="preserve">Continuous integration via GitHub Actions ensures that every push to the main branch and every pull request triggers the full test suite across Python 3.10, 3.11, and 3.12. This automated testing demonstrates professional development practices and provides confidence that code changes do not introduce regressions.</w:t>
      </w:r>
    </w:p>
    <w:p>
      <w:pPr>
        <w:pStyle w:val="Heading1"/>
        <w:spacing w:after="200" w:before="360"/>
      </w:pPr>
      <w:r>
        <w:rPr>
          <w:rFonts w:ascii="Arial" w:cs="Arial" w:eastAsia="Arial" w:hAnsi="Arial"/>
          <w:b/>
          <w:bCs/>
          <w:sz w:val="32"/>
          <w:szCs w:val="32"/>
        </w:rPr>
        <w:t xml:space="preserve">6. Generative AI Declaration</w:t>
      </w:r>
    </w:p>
    <w:p>
      <w:pPr>
        <w:spacing w:after="200" w:line="276"/>
      </w:pPr>
      <w:r>
        <w:rPr>
          <w:rFonts w:ascii="Arial" w:cs="Arial" w:eastAsia="Arial" w:hAnsi="Arial"/>
          <w:sz w:val="24"/>
          <w:szCs w:val="24"/>
        </w:rPr>
        <w:t xml:space="preserve">In accordance with the module’s Green Light AI policy, this project made extensive and systematic use of Generative AI tools throughout every phase of development. AI was used as a creative exploration partner, not merely a code generator.</w:t>
      </w:r>
    </w:p>
    <w:p>
      <w:pPr>
        <w:pStyle w:val="Heading2"/>
        <w:spacing w:after="200" w:before="240"/>
      </w:pPr>
      <w:r>
        <w:rPr>
          <w:rFonts w:ascii="Arial" w:cs="Arial" w:eastAsia="Arial" w:hAnsi="Arial"/>
          <w:b/>
          <w:bCs/>
          <w:sz w:val="28"/>
          <w:szCs w:val="28"/>
        </w:rPr>
        <w:t xml:space="preserve">6.1 Tools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Tool</w:t>
            </w:r>
          </w:p>
        </w:tc>
        <w:tc>
          <w:tcPr>
            <w:tcW w:type="dxa" w:w="180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Phase</w:t>
            </w:r>
          </w:p>
        </w:tc>
        <w:tc>
          <w:tcPr>
            <w:tcW w:type="dxa" w:w="5360"/>
            <w:tcBorders>
              <w:top w:val="single" w:color="CCCCCC" w:sz="1"/>
              <w:left w:val="single" w:color="CCCCCC" w:sz="1"/>
              <w:bottom w:val="single" w:color="CCCCCC" w:sz="1"/>
              <w:right w:val="single" w:color="CCCCCC" w:sz="1"/>
            </w:tcBorders>
            <w:shd w:fill="2E4057" w:val="clear"/>
            <w:tcMar>
              <w:top w:type="dxa" w:w="60"/>
              <w:left w:type="dxa" w:w="100"/>
              <w:bottom w:type="dxa" w:w="60"/>
              <w:right w:type="dxa" w:w="100"/>
            </w:tcMar>
          </w:tcPr>
          <w:p>
            <w:r>
              <w:rPr>
                <w:rFonts w:ascii="Arial" w:cs="Arial" w:eastAsia="Arial" w:hAnsi="Arial"/>
                <w:b/>
                <w:bCs/>
                <w:color w:val="FFFFFF"/>
                <w:sz w:val="22"/>
                <w:szCs w:val="22"/>
              </w:rPr>
              <w:t xml:space="preserve">Usage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ChatGPT 5.4 (Thinking)</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Design &amp; Exploration</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Dataset evaluation, schema alternatives, CRUD model comparison, stack selection, risk scoring algorithm design, testing strategy, report structure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Claude (Anthropic)</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Implementation &amp; Refinement</w:t>
            </w:r>
          </w:p>
        </w:tc>
        <w:tc>
          <w:tcPr>
            <w:tcW w:type="dxa" w:w="5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2"/>
                <w:szCs w:val="22"/>
              </w:rPr>
              <w:t xml:space="preserve">Code generation, test suite, frontend dashboard, MCP integration, deployment config, CI/CD pipeline, documentation, code review</w:t>
            </w:r>
          </w:p>
        </w:tc>
      </w:tr>
    </w:tbl>
    <w:p>
      <w:pPr>
        <w:pStyle w:val="Heading2"/>
        <w:spacing w:after="200" w:before="240"/>
      </w:pPr>
      <w:r>
        <w:rPr>
          <w:rFonts w:ascii="Arial" w:cs="Arial" w:eastAsia="Arial" w:hAnsi="Arial"/>
          <w:b/>
          <w:bCs/>
          <w:sz w:val="28"/>
          <w:szCs w:val="28"/>
        </w:rPr>
        <w:t xml:space="preserve">6.2 How AI Was Used Creatively</w:t>
      </w:r>
    </w:p>
    <w:p>
      <w:pPr>
        <w:spacing w:after="200" w:line="276"/>
      </w:pPr>
      <w:r>
        <w:rPr>
          <w:rFonts w:ascii="Arial" w:cs="Arial" w:eastAsia="Arial" w:hAnsi="Arial"/>
          <w:sz w:val="24"/>
          <w:szCs w:val="24"/>
        </w:rPr>
        <w:t xml:space="preserve">The AI usage in this project goes significantly beyond basic code generation or debugging. It follows a deliberate pattern of creative exploration:</w:t>
      </w:r>
    </w:p>
    <w:p>
      <w:pPr>
        <w:spacing w:after="200" w:line="276"/>
      </w:pPr>
      <w:r>
        <w:rPr>
          <w:rFonts w:ascii="Arial" w:cs="Arial" w:eastAsia="Arial" w:hAnsi="Arial"/>
          <w:b/>
          <w:bCs/>
          <w:sz w:val="24"/>
          <w:szCs w:val="24"/>
        </w:rPr>
        <w:t xml:space="preserve">Design-phase exploration. </w:t>
      </w:r>
      <w:r>
        <w:rPr>
          <w:rFonts w:ascii="Arial" w:cs="Arial" w:eastAsia="Arial" w:hAnsi="Arial"/>
          <w:sz w:val="24"/>
          <w:szCs w:val="24"/>
        </w:rPr>
        <w:t xml:space="preserve">ChatGPT was used to systematically evaluate alternatives at every architectural decision point. Rather than asking “build me an API,” the conversations asked “what are four possible CRUD extensions for a hotel booking dataset, and which would create the most analytical value?” This comparative approach meant each design choice was made from an informed position, not a default one.</w:t>
      </w:r>
    </w:p>
    <w:p>
      <w:pPr>
        <w:spacing w:after="200" w:line="276"/>
      </w:pPr>
      <w:r>
        <w:rPr>
          <w:rFonts w:ascii="Arial" w:cs="Arial" w:eastAsia="Arial" w:hAnsi="Arial"/>
          <w:b/>
          <w:bCs/>
          <w:sz w:val="24"/>
          <w:szCs w:val="24"/>
        </w:rPr>
        <w:t xml:space="preserve">Critical evaluation of AI output. </w:t>
      </w:r>
      <w:r>
        <w:rPr>
          <w:rFonts w:ascii="Arial" w:cs="Arial" w:eastAsia="Arial" w:hAnsi="Arial"/>
          <w:sz w:val="24"/>
          <w:szCs w:val="24"/>
        </w:rPr>
        <w:t xml:space="preserve">AI suggestions were not accepted uncritically. The initial 12-table schema was proposed by AI and then refined through AI-assisted critique. Risk scoring weights were suggested by AI and then deliberately modified during implementation based on independent analysis. The folder structure was recommended by AI and then simplified. This pattern of propose → evaluate → adapt is documented throughout the conversation logs.</w:t>
      </w:r>
    </w:p>
    <w:p>
      <w:pPr>
        <w:spacing w:after="200" w:line="276"/>
      </w:pPr>
      <w:r>
        <w:rPr>
          <w:rFonts w:ascii="Arial" w:cs="Arial" w:eastAsia="Arial" w:hAnsi="Arial"/>
          <w:b/>
          <w:bCs/>
          <w:sz w:val="24"/>
          <w:szCs w:val="24"/>
        </w:rPr>
        <w:t xml:space="preserve">Using AI to argue against itself. </w:t>
      </w:r>
      <w:r>
        <w:rPr>
          <w:rFonts w:ascii="Arial" w:cs="Arial" w:eastAsia="Arial" w:hAnsi="Arial"/>
          <w:sz w:val="24"/>
          <w:szCs w:val="24"/>
        </w:rPr>
        <w:t xml:space="preserve">Several conversations explicitly asked the AI to provide counterarguments to its own suggestions. For example, after the AI recommended a rule-based heuristic, it was asked to explain the limitations and when an ML approach would be preferable. This adversarial dialogue produced more nuanced design rationale than a single-pass consultation.</w:t>
      </w:r>
    </w:p>
    <w:p>
      <w:pPr>
        <w:spacing w:after="200" w:line="276"/>
      </w:pPr>
      <w:r>
        <w:rPr>
          <w:rFonts w:ascii="Arial" w:cs="Arial" w:eastAsia="Arial" w:hAnsi="Arial"/>
          <w:b/>
          <w:bCs/>
          <w:sz w:val="24"/>
          <w:szCs w:val="24"/>
        </w:rPr>
        <w:t xml:space="preserve">Multi-tool workflow. </w:t>
      </w:r>
      <w:r>
        <w:rPr>
          <w:rFonts w:ascii="Arial" w:cs="Arial" w:eastAsia="Arial" w:hAnsi="Arial"/>
          <w:sz w:val="24"/>
          <w:szCs w:val="24"/>
        </w:rPr>
        <w:t xml:space="preserve">The project used two different AI tools for different strengths: ChatGPT 5.4 (Thinking) for its extended reasoning capabilities during design exploration, and Claude for implementation execution, production-hardening, and cross-referencing. This multi-tool approach itself represents creative AI usage — selecting specific tools for specific cognitive tasks.</w:t>
      </w:r>
    </w:p>
    <w:p>
      <w:pPr>
        <w:spacing w:after="200" w:line="276"/>
      </w:pPr>
      <w:r>
        <w:rPr>
          <w:rFonts w:ascii="Arial" w:cs="Arial" w:eastAsia="Arial" w:hAnsi="Arial"/>
          <w:b/>
          <w:bCs/>
          <w:sz w:val="24"/>
          <w:szCs w:val="24"/>
        </w:rPr>
        <w:t xml:space="preserve">AI-assisted production hardening. </w:t>
      </w:r>
      <w:r>
        <w:rPr>
          <w:rFonts w:ascii="Arial" w:cs="Arial" w:eastAsia="Arial" w:hAnsi="Arial"/>
          <w:sz w:val="24"/>
          <w:szCs w:val="24"/>
        </w:rPr>
        <w:t xml:space="preserve">Claude was used to perform a systematic rubric-aligned review of the project, identifying production gaps including rate limiting, CORS, MCP compatibility, deployment infrastructure, and CI/CD. The AI was prompted to critically evaluate the project against every rubric line, leading to the addition of several production-grade features that significantly improved the project’s professional quality. This demonstrates using AI not just for building, but for critical self-assessment and quality improvement.</w:t>
      </w:r>
    </w:p>
    <w:p>
      <w:pPr>
        <w:pStyle w:val="Heading2"/>
        <w:spacing w:after="200" w:before="240"/>
      </w:pPr>
      <w:r>
        <w:rPr>
          <w:rFonts w:ascii="Arial" w:cs="Arial" w:eastAsia="Arial" w:hAnsi="Arial"/>
          <w:b/>
          <w:bCs/>
          <w:sz w:val="28"/>
          <w:szCs w:val="28"/>
        </w:rPr>
        <w:t xml:space="preserve">6.3 Evidence</w:t>
      </w:r>
    </w:p>
    <w:p>
      <w:pPr>
        <w:spacing w:after="200" w:line="276"/>
      </w:pPr>
      <w:r>
        <w:rPr>
          <w:rFonts w:ascii="Arial" w:cs="Arial" w:eastAsia="Arial" w:hAnsi="Arial"/>
          <w:sz w:val="24"/>
          <w:szCs w:val="24"/>
        </w:rPr>
        <w:t xml:space="preserve">Two complete conversation logs are attached in the docs/genai_conversation_logs/ directory: a design exploration conversation covering dataset selection, schema design, and architectural decisions; and an implementation conversation covering code structure, risk scoring, testing, error handling, and report guidance. These logs demonstrate the full AI-assisted workflow from concept to completion.</w:t>
      </w:r>
    </w:p>
    <w:p>
      <w:pPr>
        <w:spacing w:after="200" w:line="276"/>
      </w:pPr>
      <w:r>
        <w:rPr>
          <w:rFonts w:ascii="Arial" w:cs="Arial" w:eastAsia="Arial" w:hAnsi="Arial"/>
          <w:sz w:val="24"/>
          <w:szCs w:val="24"/>
        </w:rPr>
        <w:t xml:space="preserve">All final design decisions, implementation choices, and written conclusions were reviewed and adapted by the author. The conversation logs serve as evidence of the exploratory process, not as the final authority on implementation.</w:t>
      </w:r>
    </w:p>
    <w:p>
      <w:pPr>
        <w:pStyle w:val="Heading1"/>
        <w:spacing w:after="200" w:before="360"/>
      </w:pPr>
      <w:r>
        <w:rPr>
          <w:rFonts w:ascii="Arial" w:cs="Arial" w:eastAsia="Arial" w:hAnsi="Arial"/>
          <w:b/>
          <w:bCs/>
          <w:sz w:val="32"/>
          <w:szCs w:val="32"/>
        </w:rPr>
        <w:t xml:space="preserve">7. Conclusion</w:t>
      </w:r>
    </w:p>
    <w:p>
      <w:pPr>
        <w:spacing w:after="200" w:line="276"/>
      </w:pPr>
      <w:r>
        <w:rPr>
          <w:rFonts w:ascii="Arial" w:cs="Arial" w:eastAsia="Arial" w:hAnsi="Arial"/>
          <w:sz w:val="24"/>
          <w:szCs w:val="24"/>
        </w:rPr>
        <w:t xml:space="preserve">The Hotel Booking Intelligence API demonstrates the design of a structured and purposeful REST API that combines imported data, operational CRUD features, analytics, and intelligent insight generation. Beyond the core functionality, the project incorporates production-grade middleware (rate limiting, CORS, structured logging), deployment infrastructure (Railway auto-deploy, GitHub Actions CI/CD), and compatibility with the emerging Model Context Protocol standard — positioning it at the intersection of traditional web services and the AI-agent ecosystem.</w:t>
      </w:r>
    </w:p>
    <w:p>
      <w:pPr>
        <w:spacing w:after="200" w:line="276"/>
      </w:pPr>
      <w:r>
        <w:rPr>
          <w:rFonts w:ascii="Arial" w:cs="Arial" w:eastAsia="Arial" w:hAnsi="Arial"/>
          <w:sz w:val="24"/>
          <w:szCs w:val="24"/>
        </w:rPr>
        <w:t xml:space="preserve">The project reflects not only technical implementation, but also iterative AI-assisted decision-making, deliberate scope control, and reflective learning. The AI-augmented workflow — using generative AI as a creative thinking partner for systematic design exploration, critical self-assessment, and production hardening rather than passive code generation — produced a more considered, professionally complete architecture than either approach alone would have achieved.</w:t>
      </w:r>
    </w:p>
    <w:p>
      <w:pPr>
        <w:pStyle w:val="Heading1"/>
        <w:spacing w:after="200" w:before="360"/>
      </w:pPr>
      <w:r>
        <w:rPr>
          <w:rFonts w:ascii="Arial" w:cs="Arial" w:eastAsia="Arial" w:hAnsi="Arial"/>
          <w:b/>
          <w:bCs/>
          <w:sz w:val="32"/>
          <w:szCs w:val="32"/>
        </w:rPr>
        <w:t xml:space="preserve">References</w:t>
      </w:r>
    </w:p>
    <w:p>
      <w:pPr>
        <w:spacing w:after="200" w:line="276"/>
      </w:pPr>
      <w:r>
        <w:rPr>
          <w:rFonts w:ascii="Arial" w:cs="Arial" w:eastAsia="Arial" w:hAnsi="Arial"/>
          <w:sz w:val="24"/>
          <w:szCs w:val="24"/>
        </w:rPr>
        <w:t xml:space="preserve">Antonio, N., de Almeida, A. &amp; Nunes, L. (2019). Hotel Booking Demand Datasets. Kaggle. Available at: https://www.kaggle.com/datasets/jessemostipak/hotel-booking-demand</w:t>
      </w:r>
    </w:p>
    <w:p>
      <w:pPr>
        <w:spacing w:after="200" w:line="276"/>
      </w:pPr>
      <w:r>
        <w:rPr>
          <w:rFonts w:ascii="Arial" w:cs="Arial" w:eastAsia="Arial" w:hAnsi="Arial"/>
          <w:sz w:val="24"/>
          <w:szCs w:val="24"/>
        </w:rPr>
        <w:t xml:space="preserve">FastAPI Documentation. Available at: https://fastapi.tiangolo.com/</w:t>
      </w:r>
    </w:p>
    <w:p>
      <w:pPr>
        <w:spacing w:after="200" w:line="276"/>
      </w:pPr>
      <w:r>
        <w:rPr>
          <w:rFonts w:ascii="Arial" w:cs="Arial" w:eastAsia="Arial" w:hAnsi="Arial"/>
          <w:sz w:val="24"/>
          <w:szCs w:val="24"/>
        </w:rPr>
        <w:t xml:space="preserve">SQLAlchemy 2.0 Documentation. Available at: https://docs.sqlalchemy.org/</w:t>
      </w:r>
    </w:p>
    <w:p>
      <w:pPr>
        <w:spacing w:after="200" w:line="276"/>
      </w:pPr>
      <w:r>
        <w:rPr>
          <w:rFonts w:ascii="Arial" w:cs="Arial" w:eastAsia="Arial" w:hAnsi="Arial"/>
          <w:sz w:val="24"/>
          <w:szCs w:val="24"/>
        </w:rPr>
        <w:t xml:space="preserve">Model Context Protocol Specification. Available at: https://modelcontextprotocol.io/</w:t>
      </w:r>
    </w:p>
    <w:p>
      <w:pPr>
        <w:spacing w:after="200" w:line="276"/>
      </w:pPr>
      <w:r>
        <w:rPr>
          <w:rFonts w:ascii="Arial" w:cs="Arial" w:eastAsia="Arial" w:hAnsi="Arial"/>
          <w:sz w:val="24"/>
          <w:szCs w:val="24"/>
        </w:rPr>
        <w:t xml:space="preserve">Fielding, R. T. (2000). Architectural Styles and the Design of Network-based Software Architectures. Doctoral dissertation, University of California, Irvine.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COMP3011 Technical Report — Hotel Booking Intelligence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4057"/>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60" w:before="200"/>
      <w:outlineLvl w:val="2"/>
    </w:pPr>
    <w:rPr>
      <w:rFonts w:ascii="Arial" w:cs="Arial" w:eastAsia="Arial" w:hAnsi="Arial"/>
      <w:b/>
      <w:b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2026-03-06T16:04:38.082Z</dcterms:created>
  <dcterms:modified xsi:type="dcterms:W3CDTF">2026-03-06T16:04:38.082Z</dcterms:modified>
</cp:coreProperties>
</file>

<file path=docProps/custom.xml><?xml version="1.0" encoding="utf-8"?>
<Properties xmlns="http://schemas.openxmlformats.org/officeDocument/2006/custom-properties" xmlns:vt="http://schemas.openxmlformats.org/officeDocument/2006/docPropsVTypes"/>
</file>