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3864"/>
          <w:sz w:val="48"/>
          <w:szCs w:val="48"/>
        </w:rPr>
        <w:t xml:space="preserve">Technical Report</w:t>
      </w:r>
    </w:p>
    <w:p>
      <w:pPr>
        <w:spacing w:after="200"/>
      </w:pPr>
    </w:p>
    <w:p>
      <w:pPr>
        <w:jc w:val="center"/>
      </w:pPr>
      <w:r>
        <w:rPr>
          <w:rFonts w:ascii="Arial" w:cs="Arial" w:eastAsia="Arial" w:hAnsi="Arial"/>
          <w:color w:val="2E75B6"/>
          <w:sz w:val="36"/>
          <w:szCs w:val="36"/>
        </w:rPr>
        <w:t xml:space="preserve">Hotel Booking Intelligence API</w:t>
      </w:r>
    </w:p>
    <w:p>
      <w:pPr>
        <w:spacing w:after="600"/>
      </w:pPr>
    </w:p>
    <w:p>
      <w:pPr>
        <w:jc w:val="center"/>
      </w:pPr>
      <w:r>
        <w:rPr>
          <w:rFonts w:ascii="Arial" w:cs="Arial" w:eastAsia="Arial" w:hAnsi="Arial"/>
          <w:sz w:val="24"/>
          <w:szCs w:val="24"/>
        </w:rPr>
        <w:t xml:space="preserve">COMP3011 Web Services and Web Data</w:t>
      </w:r>
    </w:p>
    <w:p>
      <w:pPr>
        <w:jc w:val="center"/>
      </w:pPr>
      <w:r>
        <w:rPr>
          <w:rFonts w:ascii="Arial" w:cs="Arial" w:eastAsia="Arial" w:hAnsi="Arial"/>
          <w:sz w:val="24"/>
          <w:szCs w:val="24"/>
        </w:rPr>
        <w:t xml:space="preserve">University of Leeds</w:t>
      </w:r>
    </w:p>
    <w:p>
      <w:pPr>
        <w:spacing w:after="400"/>
      </w:pPr>
    </w:p>
    <w:p>
      <w:pPr>
        <w:jc w:val="center"/>
      </w:pPr>
      <w:r>
        <w:rPr>
          <w:rFonts w:ascii="Arial" w:cs="Arial" w:eastAsia="Arial" w:hAnsi="Arial"/>
          <w:sz w:val="24"/>
          <w:szCs w:val="24"/>
        </w:rPr>
        <w:t xml:space="preserve">Author: Ali</w:t>
      </w:r>
    </w:p>
    <w:p>
      <w:pPr>
        <w:jc w:val="center"/>
      </w:pPr>
      <w:r>
        <w:rPr>
          <w:rFonts w:ascii="Arial" w:cs="Arial" w:eastAsia="Arial" w:hAnsi="Arial"/>
          <w:sz w:val="24"/>
          <w:szCs w:val="24"/>
        </w:rPr>
        <w:t xml:space="preserve">March 2026</w:t>
      </w:r>
    </w:p>
    <w:p>
      <w:pPr>
        <w:spacing w:after="800"/>
      </w:pPr>
    </w:p>
    <w:p>
      <w:pPr>
        <w:jc w:val="center"/>
      </w:pPr>
      <w:r>
        <w:rPr>
          <w:rFonts w:ascii="Arial" w:cs="Arial" w:eastAsia="Arial" w:hAnsi="Arial"/>
          <w:color w:val="2E75B6"/>
          <w:sz w:val="20"/>
          <w:szCs w:val="20"/>
        </w:rPr>
        <w:t xml:space="preserve">GitHub: https://github.com/9ali-oop/hotel-booking-api</w:t>
      </w:r>
    </w:p>
    <w:p>
      <w:pPr>
        <w:jc w:val="center"/>
      </w:pPr>
      <w:r>
        <w:rPr>
          <w:rFonts w:ascii="Arial" w:cs="Arial" w:eastAsia="Arial" w:hAnsi="Arial"/>
          <w:sz w:val="20"/>
          <w:szCs w:val="20"/>
        </w:rPr>
        <w:t xml:space="preserve">Live API: Deployed on Railway</w:t>
      </w:r>
    </w:p>
    <w:p>
      <w:pPr>
        <w:sectPr>
          <w:pgSz w:w="11906" w:h="16838" w:orient="portrait"/>
          <w:pgMar w:top="1440" w:right="1440" w:bottom="1440" w:left="1440" w:header="708" w:footer="708" w:gutter="0"/>
          <w:pgNumType/>
          <w:docGrid w:linePitch="360"/>
        </w:sectPr>
      </w:pPr>
    </w:p>
    <w:p>
      <w:pPr>
        <w:pStyle w:val="Heading1"/>
        <w:spacing w:after="200" w:before="300"/>
      </w:pPr>
      <w:r>
        <w:rPr>
          <w:rFonts w:ascii="Arial" w:cs="Arial" w:eastAsia="Arial" w:hAnsi="Arial"/>
          <w:b/>
          <w:bCs/>
          <w:sz w:val="32"/>
          <w:szCs w:val="32"/>
        </w:rPr>
        <w:t xml:space="preserve">1. Introduction</w:t>
      </w:r>
    </w:p>
    <w:p>
      <w:pPr>
        <w:spacing w:after="160" w:line="276"/>
      </w:pPr>
      <w:r>
        <w:rPr>
          <w:rFonts w:ascii="Arial" w:cs="Arial" w:eastAsia="Arial" w:hAnsi="Arial"/>
          <w:sz w:val="22"/>
          <w:szCs w:val="22"/>
        </w:rPr>
        <w:t xml:space="preserve">This report documents the design, implementation, and evaluation of the Hotel Booking Intelligence API — a data-driven RESTful web service built for the COMP3011 Web Services and Web Data module. The API combines 119,390 historical hotel booking records from the Kaggle Hotel Booking Demand dataset with user-generated operational data to provide analytical insights, risk scoring, and AI-powered analysis for hotel management.</w:t>
      </w:r>
    </w:p>
    <w:p>
      <w:pPr>
        <w:spacing w:after="160" w:line="276"/>
      </w:pPr>
      <w:r>
        <w:rPr>
          <w:rFonts w:ascii="Arial" w:cs="Arial" w:eastAsia="Arial" w:hAnsi="Arial"/>
          <w:sz w:val="22"/>
          <w:szCs w:val="22"/>
        </w:rPr>
        <w:t xml:space="preserve">The project demonstrates the application of modern software engineering principles to API design, including layered architecture, comprehensive testing, dual authentication, LLM integration, and professional deployment practices.</w:t>
      </w:r>
    </w:p>
    <w:p>
      <w:pPr>
        <w:pStyle w:val="Heading1"/>
        <w:spacing w:after="200" w:before="300"/>
      </w:pPr>
      <w:r>
        <w:rPr>
          <w:rFonts w:ascii="Arial" w:cs="Arial" w:eastAsia="Arial" w:hAnsi="Arial"/>
          <w:b/>
          <w:bCs/>
          <w:sz w:val="32"/>
          <w:szCs w:val="32"/>
        </w:rPr>
        <w:t xml:space="preserve">2. Technology Stack and Justification</w:t>
      </w:r>
    </w:p>
    <w:p>
      <w:pPr>
        <w:pStyle w:val="Heading2"/>
        <w:spacing w:after="200" w:before="200"/>
      </w:pPr>
      <w:r>
        <w:rPr>
          <w:rFonts w:ascii="Arial" w:cs="Arial" w:eastAsia="Arial" w:hAnsi="Arial"/>
          <w:b/>
          <w:bCs/>
          <w:sz w:val="28"/>
          <w:szCs w:val="28"/>
        </w:rPr>
        <w:t xml:space="preserve">2.1 Core Framework: FastAPI (Python)</w:t>
      </w:r>
    </w:p>
    <w:p>
      <w:pPr>
        <w:spacing w:after="160" w:line="276"/>
      </w:pPr>
      <w:r>
        <w:rPr>
          <w:rFonts w:ascii="Arial" w:cs="Arial" w:eastAsia="Arial" w:hAnsi="Arial"/>
          <w:sz w:val="22"/>
          <w:szCs w:val="22"/>
        </w:rPr>
        <w:t xml:space="preserve">FastAPI was selected as the web framework for three key reasons. First, it automatically generates interactive OpenAPI (Swagger) documentation from Python type annotations, satisfying the API documentation deliverable. Second, its integration with Pydantic provides automatic request validation with clear error messages — every incoming request body is validated before reaching the route handler. Third, FastAPI’s async support and dependency injection system produce clean, testable code that is easy to explain in a viva context.</w:t>
      </w:r>
    </w:p>
    <w:p>
      <w:pPr>
        <w:spacing w:after="160" w:line="276"/>
      </w:pPr>
      <w:r>
        <w:rPr>
          <w:rFonts w:ascii="Arial" w:cs="Arial" w:eastAsia="Arial" w:hAnsi="Arial"/>
          <w:sz w:val="22"/>
          <w:szCs w:val="22"/>
        </w:rPr>
        <w:t xml:space="preserve">Alternative frameworks considered included Django REST Framework (rejected as too heavyweight for a pure API project) and Express.js (rejected in favour of Python’s readability advantage for a project that must be explained verbally).</w:t>
      </w:r>
    </w:p>
    <w:p>
      <w:pPr>
        <w:pStyle w:val="Heading2"/>
        <w:spacing w:after="200" w:before="200"/>
      </w:pPr>
      <w:r>
        <w:rPr>
          <w:rFonts w:ascii="Arial" w:cs="Arial" w:eastAsia="Arial" w:hAnsi="Arial"/>
          <w:b/>
          <w:bCs/>
          <w:sz w:val="28"/>
          <w:szCs w:val="28"/>
        </w:rPr>
        <w:t xml:space="preserve">2.2 Database: SQLite with SQLAlchemy ORM</w:t>
      </w:r>
    </w:p>
    <w:p>
      <w:pPr>
        <w:spacing w:after="160" w:line="276"/>
      </w:pPr>
      <w:r>
        <w:rPr>
          <w:rFonts w:ascii="Arial" w:cs="Arial" w:eastAsia="Arial" w:hAnsi="Arial"/>
          <w:sz w:val="22"/>
          <w:szCs w:val="22"/>
        </w:rPr>
        <w:t xml:space="preserve">SQLite was chosen for zero-configuration portability — the examiner can clone the repository and run the project immediately without installing a database server. The SQLAlchemy 2.0 ORM provides a clean abstraction layer, meaning migration to PostgreSQL would require only a connection string change. The database schema consists of three tables: bookings (119,390 imported records), incidents (full CRUD), and manager_notes (full CRUD), with foreign key relationships enforcing referential integrity.</w:t>
      </w:r>
    </w:p>
    <w:p>
      <w:pPr>
        <w:pStyle w:val="Heading2"/>
        <w:spacing w:after="200" w:before="200"/>
      </w:pPr>
      <w:r>
        <w:rPr>
          <w:rFonts w:ascii="Arial" w:cs="Arial" w:eastAsia="Arial" w:hAnsi="Arial"/>
          <w:b/>
          <w:bCs/>
          <w:sz w:val="28"/>
          <w:szCs w:val="28"/>
        </w:rPr>
        <w:t xml:space="preserve">2.3 Authentication: PyJWT + API Key</w:t>
      </w:r>
    </w:p>
    <w:p>
      <w:pPr>
        <w:spacing w:after="160" w:line="276"/>
      </w:pPr>
      <w:r>
        <w:rPr>
          <w:rFonts w:ascii="Arial" w:cs="Arial" w:eastAsia="Arial" w:hAnsi="Arial"/>
          <w:sz w:val="22"/>
          <w:szCs w:val="22"/>
        </w:rPr>
        <w:t xml:space="preserve">A dual authentication strategy was implemented to demonstrate security best practices. API key authentication (via X-API-Key header) provides simple, stateless service-to-service auth, verified using hmac.compare_digest() for constant-time comparison to prevent timing side-channel attacks. JWT Bearer token authentication provides industry-standard token-based auth with configurable expiry (30 minutes default), issuer claims, and proper signature verification using the HS256 algorithm. Write endpoints require one of these auth methods; read endpoints remain public for ease of API exploration.</w:t>
      </w:r>
    </w:p>
    <w:p>
      <w:pPr>
        <w:pStyle w:val="Heading2"/>
        <w:spacing w:after="200" w:before="200"/>
      </w:pPr>
      <w:r>
        <w:rPr>
          <w:rFonts w:ascii="Arial" w:cs="Arial" w:eastAsia="Arial" w:hAnsi="Arial"/>
          <w:b/>
          <w:bCs/>
          <w:sz w:val="28"/>
          <w:szCs w:val="28"/>
        </w:rPr>
        <w:t xml:space="preserve">2.4 AI Integration: OpenAI GPT</w:t>
      </w:r>
    </w:p>
    <w:p>
      <w:pPr>
        <w:spacing w:after="160" w:line="276"/>
      </w:pPr>
      <w:r>
        <w:rPr>
          <w:rFonts w:ascii="Arial" w:cs="Arial" w:eastAsia="Arial" w:hAnsi="Arial"/>
          <w:sz w:val="22"/>
          <w:szCs w:val="22"/>
        </w:rPr>
        <w:t xml:space="preserve">The API integrates OpenAI’s GPT model as a runtime feature, not just a development tool. The /insights/ai-risk-assessment endpoint sends structured booking data and computed risk scores to the LLM, which generates natural language risk assessments with actionable recommendations. The system uses a carefully crafted prompt that frames the LLM as a “senior hotel revenue management analyst” and enforces a consistent output structure (risk summary, key factors, recommended actions, revenue impact). Graceful degradation ensures the endpoint always returns useful content, falling back to a template-based assessment if the API key is unavailable.</w:t>
      </w:r>
    </w:p>
    <w:p>
      <w:pPr>
        <w:pStyle w:val="Heading2"/>
        <w:spacing w:after="200" w:before="200"/>
      </w:pPr>
      <w:r>
        <w:rPr>
          <w:rFonts w:ascii="Arial" w:cs="Arial" w:eastAsia="Arial" w:hAnsi="Arial"/>
          <w:b/>
          <w:bCs/>
          <w:sz w:val="28"/>
          <w:szCs w:val="28"/>
        </w:rPr>
        <w:t xml:space="preserve">2.5 Additional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slowapi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60 req/min per IP, SlowAPIMiddleware for global enforcement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MCP 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fastapi-mcp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Model Context Protocol — AI assistants can use the API as a tool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CI/CD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 Actions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Automated test suite across Python 3.10, 3.11, 3.12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Deployment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Railway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Auto-deploy from GitHub with health-check monitoring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HTML/JS/Chart.js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Interactive dashboard with visual analytics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pytest + httpx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58 automated tests with in-memory SQLite</w:t>
            </w:r>
          </w:p>
        </w:tc>
      </w:tr>
    </w:tbl>
    <w:p>
      <w:r>
        <w:br w:type="page"/>
      </w:r>
    </w:p>
    <w:p>
      <w:pPr>
        <w:pStyle w:val="Heading1"/>
        <w:spacing w:after="200" w:before="300"/>
      </w:pPr>
      <w:r>
        <w:rPr>
          <w:rFonts w:ascii="Arial" w:cs="Arial" w:eastAsia="Arial" w:hAnsi="Arial"/>
          <w:b/>
          <w:bCs/>
          <w:sz w:val="32"/>
          <w:szCs w:val="32"/>
        </w:rPr>
        <w:t xml:space="preserve">3. API Design and Architecture</w:t>
      </w:r>
    </w:p>
    <w:p>
      <w:pPr>
        <w:pStyle w:val="Heading2"/>
        <w:spacing w:after="200" w:before="200"/>
      </w:pPr>
      <w:r>
        <w:rPr>
          <w:rFonts w:ascii="Arial" w:cs="Arial" w:eastAsia="Arial" w:hAnsi="Arial"/>
          <w:b/>
          <w:bCs/>
          <w:sz w:val="28"/>
          <w:szCs w:val="28"/>
        </w:rPr>
        <w:t xml:space="preserve">3.1 Layered Architecture</w:t>
      </w:r>
    </w:p>
    <w:p>
      <w:pPr>
        <w:spacing w:after="160" w:line="276"/>
      </w:pPr>
      <w:r>
        <w:rPr>
          <w:rFonts w:ascii="Arial" w:cs="Arial" w:eastAsia="Arial" w:hAnsi="Arial"/>
          <w:sz w:val="22"/>
          <w:szCs w:val="22"/>
        </w:rPr>
        <w:t xml:space="preserve">The project follows a layered architecture pattern with clear separation of concerns. The Routers layer handles HTTP request routing and response formatting. The Schemas layer (Pydantic models) validates all incoming data and serializes outgoing responses. The Models layer defines SQLAlchemy ORM table mappings. The Services layer contains business logic including the risk scoring algorithm and LLM integration. The Database layer manages connection pooling and session lifecycle via dependency injection.</w:t>
      </w:r>
    </w:p>
    <w:p>
      <w:pPr>
        <w:pStyle w:val="Heading2"/>
        <w:spacing w:after="200" w:before="200"/>
      </w:pPr>
      <w:r>
        <w:rPr>
          <w:rFonts w:ascii="Arial" w:cs="Arial" w:eastAsia="Arial" w:hAnsi="Arial"/>
          <w:b/>
          <w:bCs/>
          <w:sz w:val="28"/>
          <w:szCs w:val="28"/>
        </w:rPr>
        <w:t xml:space="preserve">3.2 Endpoint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/auth/token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Exchange API key for JWT Bearer token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List bookings with filters and pagination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/bookings/{id}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 a single booking by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/incidents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 incident (auth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/incidents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List incidents with filters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/incidents/{id}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Full update (auth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/incidents/{id}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Partial update (auth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/incidents/{id}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Delete incident (auth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CRUD for manager notes (write auth)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Cancellation rate, demand, segments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/insights/*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Risk scoring, operational hotspots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/insights/ai-risk-assessment/{id}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LLM-powered risk analysis (auth)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/health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Health check for deployment monitoring</w:t>
            </w:r>
          </w:p>
        </w:tc>
      </w:tr>
    </w:tbl>
    <w:p>
      <w:pPr>
        <w:pStyle w:val="Heading2"/>
        <w:spacing w:after="200" w:before="200"/>
      </w:pPr>
      <w:r>
        <w:rPr>
          <w:rFonts w:ascii="Arial" w:cs="Arial" w:eastAsia="Arial" w:hAnsi="Arial"/>
          <w:b/>
          <w:bCs/>
          <w:sz w:val="28"/>
          <w:szCs w:val="28"/>
        </w:rPr>
        <w:t xml:space="preserve">3.3 Security Implementation</w:t>
      </w:r>
    </w:p>
    <w:p>
      <w:pPr>
        <w:spacing w:after="160" w:line="276"/>
      </w:pPr>
      <w:r>
        <w:rPr>
          <w:rFonts w:ascii="Arial" w:cs="Arial" w:eastAsia="Arial" w:hAnsi="Arial"/>
          <w:sz w:val="22"/>
          <w:szCs w:val="22"/>
        </w:rPr>
        <w:t xml:space="preserve">Security is implemented at multiple layers. Authentication uses a dual-strategy approach (API Key + JWT) protecting all write endpoints while keeping read endpoints public. Rate limiting at 60 requests per minute per IP prevents abuse, enforced globally via SlowAPIMiddleware. CORS middleware is configured for cross-origin requests from the frontend dashboard. Input validation through Pydantic schemas rejects malformed data with 422 responses before it reaches the database. Database-level constraints (CHECK constraints on severity ranges, status values, and incident types) provide a final safety net.</w:t>
      </w:r>
    </w:p>
    <w:p>
      <w:pPr>
        <w:pStyle w:val="Heading2"/>
        <w:spacing w:after="200" w:before="200"/>
      </w:pPr>
      <w:r>
        <w:rPr>
          <w:rFonts w:ascii="Arial" w:cs="Arial" w:eastAsia="Arial" w:hAnsi="Arial"/>
          <w:b/>
          <w:bCs/>
          <w:sz w:val="28"/>
          <w:szCs w:val="28"/>
        </w:rPr>
        <w:t xml:space="preserve">3.4 Risk Scoring Algorithm</w:t>
      </w:r>
    </w:p>
    <w:p>
      <w:pPr>
        <w:spacing w:after="160" w:line="276"/>
      </w:pPr>
      <w:r>
        <w:rPr>
          <w:rFonts w:ascii="Arial" w:cs="Arial" w:eastAsia="Arial" w:hAnsi="Arial"/>
          <w:sz w:val="22"/>
          <w:szCs w:val="22"/>
        </w:rPr>
        <w:t xml:space="preserve">The /insights/high-risk-bookings endpoint uses a custom rule-based heuristic to identify bookings with high cancellation probability. Six factors are evaluated: lead time (&gt;200 days, +0.15–0.25), previous cancellations (strongest predictor, +0.20–0.30), deposit type (no deposit, +0.15), market segment (Online TA, +0.10), guest history (first-time, +0.10), and booking changes (zero changes, +0.10). Scores are capped at 1.0 and classified into risk bands: low (0–0.29), medium (0.30–0.59), and high (0.60–1.0). These weights derive from observed patterns in the dataset. A production system would use a trained ML classifier, but the heuristic approach is transparent and interpretable.</w:t>
      </w:r>
    </w:p>
    <w:p>
      <w:pPr>
        <w:pStyle w:val="Heading1"/>
        <w:spacing w:after="200" w:before="300"/>
      </w:pPr>
      <w:r>
        <w:rPr>
          <w:rFonts w:ascii="Arial" w:cs="Arial" w:eastAsia="Arial" w:hAnsi="Arial"/>
          <w:b/>
          <w:bCs/>
          <w:sz w:val="32"/>
          <w:szCs w:val="32"/>
        </w:rPr>
        <w:t xml:space="preserve">4. Testing Strategy</w:t>
      </w:r>
    </w:p>
    <w:p>
      <w:pPr>
        <w:spacing w:after="160" w:line="276"/>
      </w:pPr>
      <w:r>
        <w:rPr>
          <w:rFonts w:ascii="Arial" w:cs="Arial" w:eastAsia="Arial" w:hAnsi="Arial"/>
          <w:sz w:val="22"/>
          <w:szCs w:val="22"/>
        </w:rPr>
        <w:t xml:space="preserve">The project includes 58 automated tests using pytest with FastAPI’s TestClient. Tests use an in-memory SQLite database with SQLAlchemy’s StaticPool to ensure isolation and speed. The test suite covers: CRUD lifecycle tests for incidents and notes (create, read, update, patch, delete), booking endpoint tests (pagination, filtering, 404 handling), analytics and insight endpoint validation, authentication enforcement (valid key, missing key, wrong key, JWT tokens), AI risk assessment endpoint (structure, fallback, auth, different bookings), and edge cases (short descriptions, invalid severity, empty text). Tests run on every push via GitHub Actions across Python 3.10, 3.11, and 3.12.</w:t>
      </w:r>
    </w:p>
    <w:p>
      <w:pPr>
        <w:pStyle w:val="Heading1"/>
        <w:spacing w:after="200" w:before="300"/>
      </w:pPr>
      <w:r>
        <w:rPr>
          <w:rFonts w:ascii="Arial" w:cs="Arial" w:eastAsia="Arial" w:hAnsi="Arial"/>
          <w:b/>
          <w:bCs/>
          <w:sz w:val="32"/>
          <w:szCs w:val="32"/>
        </w:rPr>
        <w:t xml:space="preserve">5. Deployment and CI/CD</w:t>
      </w:r>
    </w:p>
    <w:p>
      <w:pPr>
        <w:spacing w:after="160" w:line="276"/>
      </w:pPr>
      <w:r>
        <w:rPr>
          <w:rFonts w:ascii="Arial" w:cs="Arial" w:eastAsia="Arial" w:hAnsi="Arial"/>
          <w:sz w:val="22"/>
          <w:szCs w:val="22"/>
        </w:rPr>
        <w:t xml:space="preserve">The API is deployed on Railway, which provides automatic deployment from the GitHub repository on every push. The deployment configuration includes a Procfile (uvicorn command), railway.toml (health check path and build settings), and runtime.txt (Python version pin). The /health endpoint checks database connectivity and returns the API version, which Railway uses to verify successful deployments.</w:t>
      </w:r>
    </w:p>
    <w:p>
      <w:pPr>
        <w:spacing w:after="160" w:line="276"/>
      </w:pPr>
      <w:r>
        <w:rPr>
          <w:rFonts w:ascii="Arial" w:cs="Arial" w:eastAsia="Arial" w:hAnsi="Arial"/>
          <w:sz w:val="22"/>
          <w:szCs w:val="22"/>
        </w:rPr>
        <w:t xml:space="preserve">GitHub Actions CI/CD runs on every push and pull request. The workflow installs dependencies, runs all 58 tests, and verifies the API can start and the health endpoint responds. The matrix strategy tests across Python 3.10, 3.11, and 3.12 to ensure cross-version compatibility.</w:t>
      </w:r>
    </w:p>
    <w:p>
      <w:pPr>
        <w:pStyle w:val="Heading1"/>
        <w:spacing w:after="200" w:before="300"/>
      </w:pPr>
      <w:r>
        <w:rPr>
          <w:rFonts w:ascii="Arial" w:cs="Arial" w:eastAsia="Arial" w:hAnsi="Arial"/>
          <w:b/>
          <w:bCs/>
          <w:sz w:val="32"/>
          <w:szCs w:val="32"/>
        </w:rPr>
        <w:t xml:space="preserve">6. Challenges and Lessons Learned</w:t>
      </w:r>
    </w:p>
    <w:p>
      <w:pPr>
        <w:spacing w:after="160" w:line="276"/>
      </w:pPr>
      <w:r>
        <w:rPr>
          <w:rFonts w:ascii="Arial" w:cs="Arial" w:eastAsia="Arial" w:hAnsi="Arial"/>
          <w:sz w:val="22"/>
          <w:szCs w:val="22"/>
        </w:rPr>
        <w:t xml:space="preserve">Several challenges were encountered during development. Deciding on the right level of database normalisation was an early design challenge — an initial plan with 12+ tables was simplified to 3 after realising over-normalisation added complexity without value for a read-heavy analytics API. The CSV import required special handling for NULL values (the dataset uses the string “NULL” instead of empty values). Rate limiting initially appeared non-functional because the SlowAPI Limiter’s default_limits only apply to routes with explicit decorators — switching to SlowAPIMiddleware enforced limits globally. CI failures due to namespace package resolution on Ubuntu required adding content to __init__.py files that were previously empty (0 bytes).</w:t>
      </w:r>
    </w:p>
    <w:p>
      <w:pPr>
        <w:spacing w:after="160" w:line="276"/>
      </w:pPr>
      <w:r>
        <w:rPr>
          <w:rFonts w:ascii="Arial" w:cs="Arial" w:eastAsia="Arial" w:hAnsi="Arial"/>
          <w:sz w:val="22"/>
          <w:szCs w:val="22"/>
        </w:rPr>
        <w:t xml:space="preserve">A key lesson was the importance of graceful degradation in the LLM integration — the template fallback ensures the AI endpoint always works, even when the OpenAI API is unavailable. This pattern is essential for production reliability.</w:t>
      </w:r>
    </w:p>
    <w:p>
      <w:pPr>
        <w:pStyle w:val="Heading1"/>
        <w:spacing w:after="200" w:before="300"/>
      </w:pPr>
      <w:r>
        <w:rPr>
          <w:rFonts w:ascii="Arial" w:cs="Arial" w:eastAsia="Arial" w:hAnsi="Arial"/>
          <w:b/>
          <w:bCs/>
          <w:sz w:val="32"/>
          <w:szCs w:val="32"/>
        </w:rPr>
        <w:t xml:space="preserve">7. Limitations and Future Work</w:t>
      </w:r>
    </w:p>
    <w:p>
      <w:pPr>
        <w:spacing w:after="160" w:line="276"/>
      </w:pPr>
      <w:r>
        <w:rPr>
          <w:rFonts w:ascii="Arial" w:cs="Arial" w:eastAsia="Arial" w:hAnsi="Arial"/>
          <w:sz w:val="22"/>
          <w:szCs w:val="22"/>
        </w:rPr>
        <w:t xml:space="preserve">Current limitations include: the risk scoring uses a rule-based heuristic rather than a trained ML model, SQLite limits concurrent write access (PostgreSQL would be needed for production multi-user scenarios), and the API key is stored as an environment variable rather than in a secure vault. Future improvements could include replacing the heuristic with a trained classifier (e.g., Random Forest), adding WebSocket support for real-time incident notifications, implementing Redis caching for expensive analytics queries, adding HATEOAS pagination links, and migrating to PostgreSQL with connection pooling for production scalability.</w:t>
      </w:r>
    </w:p>
    <w:p>
      <w:pPr>
        <w:pStyle w:val="Heading1"/>
        <w:spacing w:after="200" w:before="300"/>
      </w:pPr>
      <w:r>
        <w:rPr>
          <w:rFonts w:ascii="Arial" w:cs="Arial" w:eastAsia="Arial" w:hAnsi="Arial"/>
          <w:b/>
          <w:bCs/>
          <w:sz w:val="32"/>
          <w:szCs w:val="32"/>
        </w:rPr>
        <w:t xml:space="preserve">8. Generative AI Declaration</w:t>
      </w:r>
    </w:p>
    <w:p>
      <w:pPr>
        <w:spacing w:after="160" w:line="276"/>
      </w:pPr>
      <w:r>
        <w:rPr>
          <w:rFonts w:ascii="Arial" w:cs="Arial" w:eastAsia="Arial" w:hAnsi="Arial"/>
          <w:sz w:val="22"/>
          <w:szCs w:val="22"/>
        </w:rPr>
        <w:t xml:space="preserve">This project made extensive, declared use of Generative AI tools throughout the development lifecycle, in accordance with the module’s Green Light assessment policy.</w:t>
      </w:r>
    </w:p>
    <w:p>
      <w:pPr>
        <w:pStyle w:val="Heading2"/>
        <w:spacing w:after="200" w:before="200"/>
      </w:pPr>
      <w:r>
        <w:rPr>
          <w:rFonts w:ascii="Arial" w:cs="Arial" w:eastAsia="Arial" w:hAnsi="Arial"/>
          <w:b/>
          <w:bCs/>
          <w:sz w:val="28"/>
          <w:szCs w:val="28"/>
        </w:rPr>
        <w:t xml:space="preserve">8.1 Tools Used</w:t>
      </w:r>
    </w:p>
    <w:p>
      <w:pPr>
        <w:spacing w:after="160" w:line="276"/>
      </w:pPr>
      <w:r>
        <w:rPr>
          <w:rFonts w:ascii="Arial" w:cs="Arial" w:eastAsia="Arial" w:hAnsi="Arial"/>
          <w:b/>
          <w:bCs/>
          <w:sz w:val="22"/>
          <w:szCs w:val="22"/>
        </w:rPr>
        <w:t xml:space="preserve">ChatGPT (OpenAI): </w:t>
      </w:r>
      <w:r>
        <w:rPr>
          <w:rFonts w:ascii="Arial" w:cs="Arial" w:eastAsia="Arial" w:hAnsi="Arial"/>
          <w:sz w:val="22"/>
          <w:szCs w:val="22"/>
        </w:rPr>
        <w:t xml:space="preserve">Used during the design phase for dataset exploration, comparing CRUD model options, deciding on the technology stack, and API structure planning. Conversation logs are attached as supplementary material.</w:t>
      </w:r>
    </w:p>
    <w:p>
      <w:pPr>
        <w:spacing w:after="160" w:line="276"/>
      </w:pPr>
      <w:r>
        <w:rPr>
          <w:rFonts w:ascii="Arial" w:cs="Arial" w:eastAsia="Arial" w:hAnsi="Arial"/>
          <w:b/>
          <w:bCs/>
          <w:sz w:val="22"/>
          <w:szCs w:val="22"/>
        </w:rPr>
        <w:t xml:space="preserve">Claude (Anthropic): </w:t>
      </w:r>
      <w:r>
        <w:rPr>
          <w:rFonts w:ascii="Arial" w:cs="Arial" w:eastAsia="Arial" w:hAnsi="Arial"/>
          <w:sz w:val="22"/>
          <w:szCs w:val="22"/>
        </w:rPr>
        <w:t xml:space="preserve">Used for code generation, review, and implementation of production features including the authentication system, MCP server integration, LLM endpoint, CI/CD pipeline, Railway deployment, rate limiting, and test suite expansion.</w:t>
      </w:r>
    </w:p>
    <w:p>
      <w:pPr>
        <w:spacing w:after="160" w:line="276"/>
      </w:pPr>
      <w:r>
        <w:rPr>
          <w:rFonts w:ascii="Arial" w:cs="Arial" w:eastAsia="Arial" w:hAnsi="Arial"/>
          <w:b/>
          <w:bCs/>
          <w:sz w:val="22"/>
          <w:szCs w:val="22"/>
        </w:rPr>
        <w:t xml:space="preserve">OpenAI GPT API (runtime): </w:t>
      </w:r>
      <w:r>
        <w:rPr>
          <w:rFonts w:ascii="Arial" w:cs="Arial" w:eastAsia="Arial" w:hAnsi="Arial"/>
          <w:sz w:val="22"/>
          <w:szCs w:val="22"/>
        </w:rPr>
        <w:t xml:space="preserve">Integrated as a runtime feature of the API itself — the /insights/ai-risk-assessment endpoint calls GPT to generate natural language risk assessments. This represents using GenAI not just as a development tool, but as a core API capability.</w:t>
      </w:r>
    </w:p>
    <w:p>
      <w:pPr>
        <w:pStyle w:val="Heading2"/>
        <w:spacing w:after="200" w:before="200"/>
      </w:pPr>
      <w:r>
        <w:rPr>
          <w:rFonts w:ascii="Arial" w:cs="Arial" w:eastAsia="Arial" w:hAnsi="Arial"/>
          <w:b/>
          <w:bCs/>
          <w:sz w:val="28"/>
          <w:szCs w:val="28"/>
        </w:rPr>
        <w:t xml:space="preserve">8.2 How AI Was Used</w:t>
      </w:r>
    </w:p>
    <w:p>
      <w:pPr>
        <w:spacing w:after="160" w:line="276"/>
      </w:pPr>
      <w:r>
        <w:rPr>
          <w:rFonts w:ascii="Arial" w:cs="Arial" w:eastAsia="Arial" w:hAnsi="Arial"/>
          <w:sz w:val="22"/>
          <w:szCs w:val="22"/>
        </w:rPr>
        <w:t xml:space="preserve">AI was used as a creative thinking partner rather than just a code generator. During design, ChatGPT conversations explored multiple dataset options, compared architectural approaches, and challenged initial assumptions. During implementation, Claude generated code that was reviewed, tested, and modified — for example, the risk scoring weights from the ChatGPT conversation were adjusted based on analysis of the actual dataset patterns (the ChatGPT suggestion of “more booking changes = more risk” was reversed to “zero changes = less engagement” based on domain reasoning). All AI-generated code was verified through the 58-test automated suite.</w:t>
      </w:r>
    </w:p>
    <w:p>
      <w:pPr>
        <w:pStyle w:val="Heading2"/>
        <w:spacing w:after="200" w:before="200"/>
      </w:pPr>
      <w:r>
        <w:rPr>
          <w:rFonts w:ascii="Arial" w:cs="Arial" w:eastAsia="Arial" w:hAnsi="Arial"/>
          <w:b/>
          <w:bCs/>
          <w:sz w:val="28"/>
          <w:szCs w:val="28"/>
        </w:rPr>
        <w:t xml:space="preserve">8.3 Conversation Logs</w:t>
      </w:r>
    </w:p>
    <w:p>
      <w:pPr>
        <w:spacing w:after="160" w:line="276"/>
      </w:pPr>
      <w:r>
        <w:rPr>
          <w:rFonts w:ascii="Arial" w:cs="Arial" w:eastAsia="Arial" w:hAnsi="Arial"/>
          <w:sz w:val="22"/>
          <w:szCs w:val="22"/>
        </w:rPr>
        <w:t xml:space="preserve">Exported conversation logs are available in the repository under docs/genai_conversation_logs/. These include the initial design exploration (design_conversation.txt) and implementation phase dialogue (implementation_conversation.txt).</w:t>
      </w:r>
    </w:p>
    <w:p>
      <w:pPr>
        <w:pStyle w:val="Heading1"/>
        <w:spacing w:after="200" w:before="300"/>
      </w:pPr>
      <w:r>
        <w:rPr>
          <w:rFonts w:ascii="Arial" w:cs="Arial" w:eastAsia="Arial" w:hAnsi="Arial"/>
          <w:b/>
          <w:bCs/>
          <w:sz w:val="32"/>
          <w:szCs w:val="32"/>
        </w:rPr>
        <w:t xml:space="preserve">9. References</w:t>
      </w:r>
    </w:p>
    <w:p>
      <w:pPr>
        <w:spacing w:after="160" w:line="276"/>
      </w:pPr>
      <w:r>
        <w:rPr>
          <w:rFonts w:ascii="Arial" w:cs="Arial" w:eastAsia="Arial" w:hAnsi="Arial"/>
          <w:sz w:val="22"/>
          <w:szCs w:val="22"/>
        </w:rPr>
        <w:t xml:space="preserve">Antonio, N., de Almeida, A., &amp; Nunes, L. (2019). Hotel Booking Demand Datasets. Data in Brief, 22, 41–49. https://doi.org/10.1016/j.dib.2018.11.126</w:t>
      </w:r>
    </w:p>
    <w:p>
      <w:pPr>
        <w:spacing w:after="160" w:line="276"/>
      </w:pPr>
      <w:r>
        <w:rPr>
          <w:rFonts w:ascii="Arial" w:cs="Arial" w:eastAsia="Arial" w:hAnsi="Arial"/>
          <w:sz w:val="22"/>
          <w:szCs w:val="22"/>
        </w:rPr>
        <w:t xml:space="preserve">FastAPI Documentation. https://fastapi.tiangolo.com/</w:t>
      </w:r>
    </w:p>
    <w:p>
      <w:pPr>
        <w:spacing w:after="160" w:line="276"/>
      </w:pPr>
      <w:r>
        <w:rPr>
          <w:rFonts w:ascii="Arial" w:cs="Arial" w:eastAsia="Arial" w:hAnsi="Arial"/>
          <w:sz w:val="22"/>
          <w:szCs w:val="22"/>
        </w:rPr>
        <w:t xml:space="preserve">SQLAlchemy 2.0 Documentation. https://docs.sqlalchemy.org/en/20/</w:t>
      </w:r>
    </w:p>
    <w:p>
      <w:pPr>
        <w:spacing w:after="160" w:line="276"/>
      </w:pPr>
      <w:r>
        <w:rPr>
          <w:rFonts w:ascii="Arial" w:cs="Arial" w:eastAsia="Arial" w:hAnsi="Arial"/>
          <w:sz w:val="22"/>
          <w:szCs w:val="22"/>
        </w:rPr>
        <w:t xml:space="preserve">Pydantic v2 Documentation. https://docs.pydantic.dev/latest/</w:t>
      </w:r>
    </w:p>
    <w:p>
      <w:pPr>
        <w:spacing w:after="160" w:line="276"/>
      </w:pPr>
      <w:r>
        <w:rPr>
          <w:rFonts w:ascii="Arial" w:cs="Arial" w:eastAsia="Arial" w:hAnsi="Arial"/>
          <w:sz w:val="22"/>
          <w:szCs w:val="22"/>
        </w:rPr>
        <w:t xml:space="preserve">OpenAI API Reference. https://platform.openai.com/docs/api-reference</w:t>
      </w:r>
    </w:p>
    <w:p>
      <w:pPr>
        <w:spacing w:after="160" w:line="276"/>
      </w:pPr>
      <w:r>
        <w:rPr>
          <w:rFonts w:ascii="Arial" w:cs="Arial" w:eastAsia="Arial" w:hAnsi="Arial"/>
          <w:sz w:val="22"/>
          <w:szCs w:val="22"/>
        </w:rPr>
        <w:t xml:space="preserve">Model Context Protocol Specification. https://modelcontextprotocol.io/</w:t>
      </w:r>
    </w:p>
    <w:p>
      <w:pPr>
        <w:spacing w:after="160" w:line="276"/>
      </w:pPr>
      <w:r>
        <w:rPr>
          <w:rFonts w:ascii="Arial" w:cs="Arial" w:eastAsia="Arial" w:hAnsi="Arial"/>
          <w:sz w:val="22"/>
          <w:szCs w:val="22"/>
        </w:rPr>
        <w:t xml:space="preserve">JSON Web Token (RFC 7519). https://datatracker.ietf.org/doc/html/rfc7519</w:t>
      </w:r>
    </w:p>
    <w:p>
      <w:pPr>
        <w:spacing w:after="160" w:line="276"/>
      </w:pPr>
      <w:r>
        <w:rPr>
          <w:rFonts w:ascii="Arial" w:cs="Arial" w:eastAsia="Arial" w:hAnsi="Arial"/>
          <w:sz w:val="22"/>
          <w:szCs w:val="22"/>
        </w:rPr>
        <w:t xml:space="preserve">PyJWT Documentation. https://pyjwt.readthedocs.io/</w:t>
      </w:r>
    </w:p>
    <w:p>
      <w:pPr>
        <w:spacing w:after="160" w:line="276"/>
      </w:pPr>
      <w:r>
        <w:rPr>
          <w:rFonts w:ascii="Arial" w:cs="Arial" w:eastAsia="Arial" w:hAnsi="Arial"/>
          <w:sz w:val="22"/>
          <w:szCs w:val="22"/>
        </w:rPr>
        <w:t xml:space="preserve">SlowAPI Documentation. https://slowapi.readthedocs.io/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COMP3011 Technical Report — Hotel Booking Intelligence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2026-03-07T11:16:25.926Z</dcterms:created>
  <dcterms:modified xsi:type="dcterms:W3CDTF">2026-03-07T11:16:25.927Z</dcterms:modified>
</cp:coreProperties>
</file>

<file path=docProps/custom.xml><?xml version="1.0" encoding="utf-8"?>
<Properties xmlns="http://schemas.openxmlformats.org/officeDocument/2006/custom-properties" xmlns:vt="http://schemas.openxmlformats.org/officeDocument/2006/docPropsVTypes"/>
</file>