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</w:pPr>
      <w:r>
        <w:rPr>
          <w:rFonts w:ascii="宋体" w:hAnsi="宋体" w:eastAsia="宋体" w:cs="宋体"/>
          <w:b/>
          <w:color w:val="auto"/>
          <w:sz w:val="3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12522200</wp:posOffset>
            </wp:positionH>
            <wp:positionV relativeFrom="topMargin">
              <wp:posOffset>10172700</wp:posOffset>
            </wp:positionV>
            <wp:extent cx="495300" cy="381000"/>
            <wp:effectExtent l="0" t="0" r="0" b="0"/>
            <wp:wrapNone/>
            <wp:docPr id="100028" name="图片 100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8" name="图片 10002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 w:eastAsia="宋体" w:cs="宋体"/>
          <w:b/>
          <w:color w:val="auto"/>
          <w:sz w:val="32"/>
        </w:rPr>
        <w:t>河北省“五个一”名校联盟</w:t>
      </w:r>
    </w:p>
    <w:p>
      <w:pPr>
        <w:spacing w:line="360" w:lineRule="auto"/>
        <w:jc w:val="center"/>
      </w:pPr>
      <w:r>
        <w:rPr>
          <w:rFonts w:ascii="宋体" w:hAnsi="宋体" w:eastAsia="宋体" w:cs="宋体"/>
          <w:b/>
          <w:color w:val="auto"/>
          <w:sz w:val="32"/>
        </w:rPr>
        <w:t>2023届高三年级联考（2022.12）</w:t>
      </w:r>
    </w:p>
    <w:p>
      <w:pPr>
        <w:spacing w:line="360" w:lineRule="auto"/>
        <w:jc w:val="center"/>
      </w:pPr>
      <w:r>
        <w:rPr>
          <w:rFonts w:ascii="宋体" w:hAnsi="宋体" w:eastAsia="宋体" w:cs="宋体"/>
          <w:b/>
          <w:color w:val="auto"/>
          <w:sz w:val="32"/>
        </w:rPr>
        <w:t>地理试卷</w:t>
      </w:r>
    </w:p>
    <w:p>
      <w:pPr>
        <w:spacing w:line="360" w:lineRule="auto"/>
        <w:jc w:val="center"/>
      </w:pPr>
      <w:r>
        <w:rPr>
          <w:rFonts w:ascii="宋体" w:hAnsi="宋体" w:eastAsia="宋体" w:cs="宋体"/>
          <w:b/>
          <w:color w:val="auto"/>
          <w:sz w:val="24"/>
        </w:rPr>
        <w:t>（满分：100分，测试时间：75分钟）</w:t>
      </w:r>
    </w:p>
    <w:p>
      <w:pPr>
        <w:spacing w:line="360" w:lineRule="auto"/>
        <w:jc w:val="left"/>
      </w:pPr>
      <w:r>
        <w:rPr>
          <w:rFonts w:ascii="宋体" w:hAnsi="宋体" w:eastAsia="宋体" w:cs="宋体"/>
          <w:b/>
          <w:color w:val="auto"/>
          <w:sz w:val="24"/>
        </w:rPr>
        <w:t>一、选择题：本题共16小题，每小题3分，共48分，在每小题给出的四个选项中，只有一项是符合题目要求的。</w:t>
      </w:r>
    </w:p>
    <w:p>
      <w:pPr>
        <w:spacing w:line="360" w:lineRule="auto"/>
        <w:ind w:firstLine="420"/>
        <w:jc w:val="left"/>
      </w:pPr>
      <w:r>
        <w:rPr>
          <w:rFonts w:ascii="楷体" w:hAnsi="楷体" w:eastAsia="楷体" w:cs="楷体"/>
          <w:color w:val="auto"/>
        </w:rPr>
        <w:t>党的二十大报告指出，要科学开展大规模国土绿化行动，促进人与自然和谐共生，“三北”防护林是标志性工程之一。下图示意“三北”防护林分布。据此完成下面小题。</w:t>
      </w:r>
    </w:p>
    <w:p>
      <w:pPr>
        <w:spacing w:line="360" w:lineRule="auto"/>
        <w:jc w:val="left"/>
      </w:pPr>
      <w:r>
        <w:drawing>
          <wp:inline distT="0" distB="0" distL="114300" distR="114300">
            <wp:extent cx="3152775" cy="1771650"/>
            <wp:effectExtent l="0" t="0" r="9525" b="0"/>
            <wp:docPr id="100003" name="图片 10000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图片 10000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auto"/>
        </w:rPr>
      </w:pPr>
      <w:r>
        <w:t xml:space="preserve">1. </w:t>
      </w:r>
      <w:r>
        <w:rPr>
          <w:rFonts w:ascii="宋体" w:hAnsi="宋体" w:eastAsia="宋体" w:cs="宋体"/>
          <w:color w:val="auto"/>
        </w:rPr>
        <w:t>甲、丙两地营造防护林的主要目的是（   ）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auto"/>
        </w:rPr>
      </w:pPr>
      <w:r>
        <w:t xml:space="preserve">A. </w:t>
      </w:r>
      <w:r>
        <w:rPr>
          <w:rFonts w:ascii="宋体" w:hAnsi="宋体" w:eastAsia="宋体" w:cs="宋体"/>
          <w:color w:val="auto"/>
        </w:rPr>
        <w:t>甲——增加空气湿度</w:t>
      </w:r>
      <w:r>
        <w:tab/>
      </w:r>
      <w:r>
        <w:t xml:space="preserve">B. </w:t>
      </w:r>
      <w:r>
        <w:rPr>
          <w:rFonts w:ascii="宋体" w:hAnsi="宋体" w:eastAsia="宋体" w:cs="宋体"/>
          <w:color w:val="auto"/>
        </w:rPr>
        <w:t>甲——减缓沙丘移动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auto"/>
        </w:rPr>
      </w:pPr>
      <w:r>
        <w:t xml:space="preserve">C. </w:t>
      </w:r>
      <w:r>
        <w:rPr>
          <w:rFonts w:ascii="宋体" w:hAnsi="宋体" w:eastAsia="宋体" w:cs="宋体"/>
          <w:color w:val="auto"/>
        </w:rPr>
        <w:t>丙——减轻水土流失</w:t>
      </w:r>
      <w:r>
        <w:tab/>
      </w:r>
      <w:r>
        <w:t xml:space="preserve">D. </w:t>
      </w:r>
      <w:r>
        <w:rPr>
          <w:rFonts w:ascii="宋体" w:hAnsi="宋体" w:eastAsia="宋体" w:cs="宋体"/>
          <w:color w:val="auto"/>
        </w:rPr>
        <w:t>丙——保护基本农田</w:t>
      </w:r>
    </w:p>
    <w:p>
      <w:pPr>
        <w:spacing w:line="360" w:lineRule="auto"/>
        <w:jc w:val="left"/>
        <w:textAlignment w:val="center"/>
        <w:rPr>
          <w:color w:val="auto"/>
        </w:rPr>
      </w:pPr>
      <w:r>
        <w:t xml:space="preserve">2. </w:t>
      </w:r>
      <w:r>
        <w:rPr>
          <w:rFonts w:ascii="宋体" w:hAnsi="宋体" w:eastAsia="宋体" w:cs="宋体"/>
          <w:color w:val="auto"/>
        </w:rPr>
        <w:t>有关乙地营造防护林说法正确的是（   ）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auto"/>
        </w:rPr>
      </w:pPr>
      <w:r>
        <w:t xml:space="preserve">A. </w:t>
      </w:r>
      <w:r>
        <w:rPr>
          <w:rFonts w:ascii="宋体" w:hAnsi="宋体" w:eastAsia="宋体" w:cs="宋体"/>
          <w:color w:val="auto"/>
        </w:rPr>
        <w:t>实施生态移民，减少对林区破坏</w:t>
      </w:r>
      <w:r>
        <w:tab/>
      </w:r>
      <w:r>
        <w:t xml:space="preserve">B. </w:t>
      </w:r>
      <w:r>
        <w:rPr>
          <w:rFonts w:ascii="宋体" w:hAnsi="宋体" w:eastAsia="宋体" w:cs="宋体"/>
          <w:color w:val="auto"/>
        </w:rPr>
        <w:t>加大人工林种植，增加木材蓄积量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t xml:space="preserve">C. </w:t>
      </w:r>
      <w:r>
        <w:rPr>
          <w:rFonts w:ascii="宋体" w:hAnsi="宋体" w:eastAsia="宋体" w:cs="宋体"/>
          <w:color w:val="auto"/>
        </w:rPr>
        <w:t>自然修复为主，加大飞播造林比重</w:t>
      </w:r>
      <w:r>
        <w:tab/>
      </w:r>
      <w:r>
        <w:t xml:space="preserve">D. </w:t>
      </w:r>
      <w:r>
        <w:rPr>
          <w:rFonts w:ascii="宋体" w:hAnsi="宋体" w:eastAsia="宋体" w:cs="宋体"/>
          <w:color w:val="auto"/>
        </w:rPr>
        <w:t>以灌为主灌草结合，增强固沙效果</w:t>
      </w:r>
    </w:p>
    <w:p>
      <w:pPr>
        <w:spacing w:line="360" w:lineRule="auto"/>
        <w:ind w:firstLine="420"/>
        <w:jc w:val="left"/>
        <w:textAlignment w:val="center"/>
        <w:rPr>
          <w:color w:val="000000"/>
        </w:rPr>
      </w:pPr>
      <w:r>
        <w:rPr>
          <w:rFonts w:ascii="楷体" w:hAnsi="楷体" w:eastAsia="楷体" w:cs="楷体"/>
          <w:color w:val="000000"/>
        </w:rPr>
        <w:t>地质时期柴达木盆地一片汪洋，经构造运动后形成巨大湖盆，湖水干涸形成盐泥交互层，在盐泥层上有一些蓝色深坑（下图）。深坑水位保持稳定，表层浮力非常大，到一定深度却具有巨大“吸力”。据此完成下面小题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3086100" cy="2114550"/>
            <wp:effectExtent l="0" t="0" r="0" b="0"/>
            <wp:docPr id="100005" name="图片 10000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图片 10000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hAnsi="宋体" w:eastAsia="宋体" w:cs="宋体"/>
          <w:color w:val="000000"/>
        </w:rPr>
        <w:t>深坑水的主要来源（   ）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大气降水补给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冰雪融水补给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河流汇入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地下水补给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ascii="宋体" w:hAnsi="宋体" w:eastAsia="宋体" w:cs="宋体"/>
          <w:color w:val="000000"/>
        </w:rPr>
        <w:t>推测深坑一定深度具有巨大“吸力”的原因（   ）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深坑底部磁场强烈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水底淤泥产生“吸力”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盐度较小“吸力”强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密度较大“吸力”强</w:t>
      </w:r>
    </w:p>
    <w:p>
      <w:pPr>
        <w:spacing w:line="360" w:lineRule="auto"/>
        <w:ind w:firstLine="420"/>
        <w:jc w:val="left"/>
        <w:textAlignment w:val="center"/>
        <w:rPr>
          <w:color w:val="000000"/>
        </w:rPr>
      </w:pPr>
      <w:r>
        <w:rPr>
          <w:rFonts w:ascii="楷体" w:hAnsi="楷体" w:eastAsia="楷体" w:cs="楷体"/>
          <w:color w:val="000000"/>
        </w:rPr>
        <w:t>岩溶台地是山体为石灰岩，顶部相对平缓，四周为陡崖，类似于平顶山的一种岩溶地貌。受地质构造和地形高差的影响，岩溶台地之间多为深切峡谷，峡谷的绝壁上发育悬挂式洞瀑，形成相对独立的岩溶景观。下图示意岩溶台地。据此完成下面小题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4581525" cy="2266950"/>
            <wp:effectExtent l="0" t="0" r="9525" b="0"/>
            <wp:docPr id="100007" name="图片 10000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图片 10000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hAnsi="宋体" w:eastAsia="宋体" w:cs="宋体"/>
          <w:color w:val="000000"/>
        </w:rPr>
        <w:t>与台地、峡谷形成有关的描述正确的是（   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①地表水沿断裂或节理溶蚀石灰岩②峡谷拓宽，台地面积缩小发育为峰脊③地壳抬升流水下切侵蚀形成峡谷④悬挂式洞瀑溯源侵蚀形成峡谷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②③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①③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①④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②④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ascii="宋体" w:hAnsi="宋体" w:eastAsia="宋体" w:cs="宋体"/>
          <w:color w:val="000000"/>
        </w:rPr>
        <w:t>推测悬挂式洞瀑水流的直接来源（   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地表径流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地下暗河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洼地积水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裂隙储水</w:t>
      </w:r>
    </w:p>
    <w:p>
      <w:pPr>
        <w:spacing w:line="360" w:lineRule="auto"/>
        <w:ind w:firstLine="420"/>
        <w:jc w:val="left"/>
        <w:textAlignment w:val="center"/>
        <w:rPr>
          <w:color w:val="000000"/>
        </w:rPr>
      </w:pPr>
      <w:r>
        <w:rPr>
          <w:rFonts w:ascii="楷体" w:hAnsi="楷体" w:eastAsia="楷体" w:cs="楷体"/>
          <w:color w:val="000000"/>
        </w:rPr>
        <w:t>林线是山地森林上限连续不断的森林分布界线。林线交错带生物生存环境梯度变化剧烈。色季拉山位于雅鲁藏布江大拐弯西北侧，其林线处森林植物群落类型呈现多样性特征。下图示意色季拉山群落的垂直分布和群落种数与海拔的变化关系。</w:t>
      </w:r>
      <w:bookmarkStart w:id="0" w:name="_GoBack"/>
      <w:bookmarkEnd w:id="0"/>
      <w:r>
        <w:rPr>
          <w:rFonts w:ascii="楷体" w:hAnsi="楷体" w:eastAsia="楷体" w:cs="楷体"/>
          <w:color w:val="000000"/>
        </w:rPr>
        <w:t>据此完成下面小题。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2019300" cy="2524125"/>
            <wp:effectExtent l="0" t="0" r="0" b="9525"/>
            <wp:docPr id="100009" name="图片 10000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图片 10000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drawing>
          <wp:inline distT="0" distB="0" distL="114300" distR="114300">
            <wp:extent cx="2647950" cy="1524000"/>
            <wp:effectExtent l="0" t="0" r="0" b="0"/>
            <wp:docPr id="100011" name="图片 10001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图片 10001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 w:eastAsia="宋体" w:cs="宋体"/>
          <w:color w:val="000000"/>
        </w:rPr>
        <w:t>色季拉山林线处物种丰富度差异及原因表述正确的是（   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阳坡高，阳坡蒸发旺盛，有机质分解快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阳坡高，阳坡</w:t>
      </w:r>
      <w:r>
        <w:rPr>
          <w:rFonts w:ascii="宋体" w:hAnsi="宋体" w:eastAsia="宋体" w:cs="宋体"/>
          <w:color w:val="000000"/>
          <w:position w:val="0"/>
        </w:rPr>
        <w:drawing>
          <wp:inline distT="0" distB="0" distL="114300" distR="114300">
            <wp:extent cx="158750" cy="190500"/>
            <wp:effectExtent l="0" t="0" r="12700" b="0"/>
            <wp:docPr id="100029" name="图片 100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9" name="图片 10002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>东南季风迎风坡降水充足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阴坡低，林下阴暗潮湿物种丰富度低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阴坡低，阴坡蒸发较弱，有机质含量高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宋体" w:hAnsi="宋体" w:eastAsia="宋体" w:cs="宋体"/>
          <w:color w:val="000000"/>
        </w:rPr>
        <w:t>结合材料下列表述正确的是（   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阴坡生物群落物种数量</w:t>
      </w:r>
      <w:r>
        <w:rPr>
          <w:rFonts w:ascii="宋体" w:hAnsi="宋体" w:eastAsia="宋体" w:cs="宋体"/>
          <w:color w:val="000000"/>
          <w:position w:val="0"/>
        </w:rPr>
        <w:drawing>
          <wp:inline distT="0" distB="0" distL="114300" distR="114300">
            <wp:extent cx="133350" cy="177800"/>
            <wp:effectExtent l="0" t="0" r="0" b="13335"/>
            <wp:docPr id="100027" name="图片 100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7" name="图片 10002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>变化幅度大于阳坡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随海拔升高，阴、阳两坡生物物种总数的差异逐渐缩小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C</w:t>
      </w:r>
      <w:r>
        <w:rPr>
          <w:color w:val="000000"/>
          <w:position w:val="-22"/>
        </w:rPr>
        <w:drawing>
          <wp:inline distT="0" distB="0" distL="114300" distR="114300">
            <wp:extent cx="31750" cy="88900"/>
            <wp:effectExtent l="0" t="0" r="0" b="0"/>
            <wp:docPr id="100033" name="图片 100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3" name="图片 10003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  <w:r>
        <w:rPr>
          <w:rFonts w:ascii="宋体" w:hAnsi="宋体" w:eastAsia="宋体" w:cs="宋体"/>
          <w:color w:val="000000"/>
        </w:rPr>
        <w:t>海拔4000米以上阳坡生物多样性变化小于阴坡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D</w:t>
      </w:r>
      <w:r>
        <w:rPr>
          <w:color w:val="000000"/>
          <w:position w:val="-22"/>
        </w:rPr>
        <w:drawing>
          <wp:inline distT="0" distB="0" distL="114300" distR="114300">
            <wp:extent cx="31750" cy="88900"/>
            <wp:effectExtent l="0" t="0" r="0" b="0"/>
            <wp:docPr id="100035" name="图片 100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5" name="图片 10003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  <w:r>
        <w:rPr>
          <w:rFonts w:ascii="宋体" w:hAnsi="宋体" w:eastAsia="宋体" w:cs="宋体"/>
          <w:color w:val="000000"/>
        </w:rPr>
        <w:t>林线以上部分阴、阳两坡生物多样性差异最小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 w:eastAsia="宋体" w:cs="宋体"/>
          <w:color w:val="000000"/>
        </w:rPr>
        <w:t>色季拉山山顶地带，植被稀疏多以灌丛草甸为主的原因是（   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①随海拔升高，山顶地带腐殖质层较薄②昼夜温差大，物理风化强，土壤表面覆盖大量砾石③冰川广布，土壤发育差，高大乔木根系难以发育④坡面径流冲刷，导致山顶土壤贫瘠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①②③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①②④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①③④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②③④</w:t>
      </w:r>
    </w:p>
    <w:p>
      <w:pPr>
        <w:spacing w:line="360" w:lineRule="auto"/>
        <w:ind w:firstLine="420"/>
        <w:jc w:val="left"/>
        <w:textAlignment w:val="center"/>
        <w:rPr>
          <w:color w:val="000000"/>
        </w:rPr>
      </w:pPr>
      <w:r>
        <w:rPr>
          <w:rFonts w:ascii="楷体" w:hAnsi="楷体" w:eastAsia="楷体" w:cs="楷体"/>
          <w:color w:val="000000"/>
        </w:rPr>
        <w:t>下图示意第六次（2010年）和第七次（2020年）全国人口普查河北省各市常住总人口数及十年增长率。据此完成下面小题。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5238750" cy="3147060"/>
            <wp:effectExtent l="0" t="0" r="0" b="15240"/>
            <wp:docPr id="100013" name="图片 10001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图片 10001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147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 w:eastAsia="宋体" w:cs="宋体"/>
          <w:color w:val="000000"/>
        </w:rPr>
        <w:t>关于2020年河北省人口变化说法正确的是（   ）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华北平原各地市人口增长显著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邯郸市人口增加数量小于保定市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承德市和衡水市人口减少数量相当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距北京较近的地市人口增长率高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 w:eastAsia="宋体" w:cs="宋体"/>
          <w:color w:val="000000"/>
        </w:rPr>
        <w:t>廊坊市十年间人口增长率最高的主要原因是（   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实施全面“二孩”政策，人们生育意愿增强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北京分散非首都职能，人口大量迁入廊坊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京津房价高，廊坊成为京津上班族的“睡城”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承接京津产业转移，廊坊经济发展迅速</w:t>
      </w:r>
    </w:p>
    <w:p>
      <w:pPr>
        <w:spacing w:line="360" w:lineRule="auto"/>
        <w:ind w:firstLine="420"/>
        <w:jc w:val="left"/>
        <w:textAlignment w:val="center"/>
        <w:rPr>
          <w:color w:val="000000"/>
        </w:rPr>
      </w:pPr>
      <w:r>
        <w:rPr>
          <w:rFonts w:ascii="楷体" w:hAnsi="楷体" w:eastAsia="楷体" w:cs="楷体"/>
          <w:color w:val="000000"/>
        </w:rPr>
        <w:t>围绕轴线进行空间布局是人类城市规划重要方式，不同的城市中轴线在历史发展、自然环境、空间形态、文化内涵和城市功能等方面具有明显差异性。相比北京城市中轴线，欧美城市中轴线方位更具灵活性。下表是世界名城中轴线主要指标比较。据此完成下面小题。</w:t>
      </w:r>
    </w:p>
    <w:tbl>
      <w:tblPr>
        <w:tblStyle w:val="4"/>
        <w:tblW w:w="679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2115"/>
        <w:gridCol w:w="2700"/>
        <w:gridCol w:w="19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W w:w="211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城市中轴线</w:t>
            </w:r>
          </w:p>
        </w:tc>
        <w:tc>
          <w:tcPr>
            <w:tcW w:w="2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主要功能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方向方位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W w:w="211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北京传统中轴线</w:t>
            </w:r>
          </w:p>
        </w:tc>
        <w:tc>
          <w:tcPr>
            <w:tcW w:w="2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景观轴、纪念轴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由北至南，居中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W w:w="211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巴黎传统中轴线</w:t>
            </w:r>
          </w:p>
        </w:tc>
        <w:tc>
          <w:tcPr>
            <w:tcW w:w="2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交通轴、景观轴、纪念轴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自东向西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W w:w="211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柏林传统中轴线</w:t>
            </w:r>
          </w:p>
        </w:tc>
        <w:tc>
          <w:tcPr>
            <w:tcW w:w="2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交通轴、景观轴、纪念轴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自东向西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W w:w="211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华盛顿中轴线</w:t>
            </w:r>
          </w:p>
        </w:tc>
        <w:tc>
          <w:tcPr>
            <w:tcW w:w="2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景观轴、纪念轴</w:t>
            </w:r>
          </w:p>
        </w:tc>
        <w:tc>
          <w:tcPr>
            <w:tcW w:w="19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自东向西</w:t>
            </w:r>
          </w:p>
        </w:tc>
      </w:tr>
    </w:tbl>
    <w:p>
      <w:pPr>
        <w:spacing w:line="360" w:lineRule="auto"/>
        <w:jc w:val="left"/>
        <w:textAlignment w:val="center"/>
        <w:rPr>
          <w:color w:val="000000"/>
        </w:rPr>
      </w:pP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hAnsi="宋体" w:eastAsia="宋体" w:cs="宋体"/>
          <w:color w:val="000000"/>
        </w:rPr>
        <w:t>推测华盛顿中轴线可能分布（   ）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国家美术馆商业广场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交通枢纽站国家档案馆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C</w:t>
      </w:r>
      <w:r>
        <w:rPr>
          <w:color w:val="000000"/>
          <w:position w:val="-22"/>
        </w:rPr>
        <w:drawing>
          <wp:inline distT="0" distB="0" distL="114300" distR="114300">
            <wp:extent cx="31750" cy="88900"/>
            <wp:effectExtent l="0" t="0" r="0" b="0"/>
            <wp:docPr id="100031" name="图片 100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1" name="图片 10003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  <w:r>
        <w:rPr>
          <w:rFonts w:ascii="宋体" w:hAnsi="宋体" w:eastAsia="宋体" w:cs="宋体"/>
          <w:color w:val="000000"/>
        </w:rPr>
        <w:t>金融办公区城市公园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行政机构标志性纪念碑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rPr>
          <w:rFonts w:ascii="宋体" w:hAnsi="宋体" w:eastAsia="宋体" w:cs="宋体"/>
          <w:color w:val="000000"/>
        </w:rPr>
        <w:t>表中欧洲城市中轴线方向布局的根本原因（   ）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地形地势走向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城市规划理念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历史文化传承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城市沿河布局</w:t>
      </w:r>
    </w:p>
    <w:p>
      <w:pPr>
        <w:spacing w:line="360" w:lineRule="auto"/>
        <w:ind w:firstLine="420"/>
        <w:jc w:val="left"/>
        <w:textAlignment w:val="center"/>
        <w:rPr>
          <w:color w:val="000000"/>
        </w:rPr>
      </w:pPr>
      <w:r>
        <w:rPr>
          <w:rFonts w:ascii="楷体" w:hAnsi="楷体" w:eastAsia="楷体" w:cs="楷体"/>
          <w:color w:val="000000"/>
        </w:rPr>
        <w:t>第二十二届世界杯足球赛于北京时间2022年11月21日至12月18日在卡塔尔（25°26′N，51°46′E）举办。下图为某日当地正午赛场拍摄的照片。据此完成下面小题。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2457450" cy="2581275"/>
            <wp:effectExtent l="0" t="0" r="0" b="9525"/>
            <wp:docPr id="100015" name="图片 10001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图片 10001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hAnsi="宋体" w:eastAsia="宋体" w:cs="宋体"/>
          <w:color w:val="000000"/>
        </w:rPr>
        <w:t>据图推测，该日北京的正午太阳高度约为（   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73.5°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26.5°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30°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34°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hAnsi="宋体" w:eastAsia="宋体" w:cs="宋体"/>
          <w:color w:val="000000"/>
        </w:rPr>
        <w:t>北京时间11月22日18:00，阿根廷首战沙特。某地球迷在比赛开始时拍摄了下图，该球迷所在地可能是（   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2276475" cy="2657475"/>
            <wp:effectExtent l="0" t="0" r="9525" b="9525"/>
            <wp:docPr id="100017" name="图片 10001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图片 10001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利雅得（46°E）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乌鲁木齐（89°E）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布宜诺斯艾利斯（59°W）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堪培拉（149°E）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16. </w:t>
      </w:r>
      <w:r>
        <w:rPr>
          <w:rFonts w:ascii="宋体" w:hAnsi="宋体" w:eastAsia="宋体" w:cs="宋体"/>
          <w:color w:val="000000"/>
        </w:rPr>
        <w:t>世界杯举办期间（   ）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天安门广场升旗时间渐早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悉尼日出方位逐渐偏南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卡塔尔昼夜长短变化幅度大于北京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里约基督像影子转过的角度逐渐减小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b/>
          <w:color w:val="000000"/>
          <w:sz w:val="24"/>
        </w:rPr>
        <w:t>二、非选择题：本题共4小题，共52分。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17. </w:t>
      </w:r>
      <w:r>
        <w:rPr>
          <w:rFonts w:ascii="宋体" w:hAnsi="宋体" w:eastAsia="宋体" w:cs="宋体"/>
          <w:color w:val="000000"/>
        </w:rPr>
        <w:t>阅读图文材料，完成下列要求。</w:t>
      </w:r>
    </w:p>
    <w:p>
      <w:pPr>
        <w:spacing w:line="360" w:lineRule="auto"/>
        <w:ind w:firstLine="420"/>
        <w:jc w:val="left"/>
        <w:textAlignment w:val="center"/>
        <w:rPr>
          <w:color w:val="000000"/>
        </w:rPr>
      </w:pPr>
      <w:r>
        <w:rPr>
          <w:rFonts w:ascii="楷体" w:hAnsi="楷体" w:eastAsia="楷体" w:cs="楷体"/>
          <w:color w:val="000000"/>
        </w:rPr>
        <w:t>材料一西北太平洋副热带高压对台风移动路径起到重要的制约作用。2022年9月8日在西北太平洋洋面上生成的台风“梅花”一路北上，先后登陆浙江（舟山）、上海、山东、辽宁，成为2000年以来首个登陆辽宁的台风。随着“梅花”的到来，沿途各地掀起强降雨天气。</w:t>
      </w:r>
    </w:p>
    <w:p>
      <w:pPr>
        <w:spacing w:line="360" w:lineRule="auto"/>
        <w:ind w:firstLine="420"/>
        <w:jc w:val="left"/>
        <w:textAlignment w:val="center"/>
        <w:rPr>
          <w:color w:val="000000"/>
        </w:rPr>
      </w:pPr>
      <w:r>
        <w:rPr>
          <w:rFonts w:ascii="楷体" w:hAnsi="楷体" w:eastAsia="楷体" w:cs="楷体"/>
          <w:color w:val="000000"/>
        </w:rPr>
        <w:t>材料二与“梅花”相比，2021年在南海生成的台风“卢碧”则更为任性，该台风“逆行”向东移动。深圳气象台观测表明，与经过南海的正常台风相比，卢碧“逆行”时深圳风速偏小。下左图示意台风“梅花”的移动路径，下右图示意台风“卢碧”的部分移动路径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2133600" cy="2552700"/>
            <wp:effectExtent l="0" t="0" r="0" b="0"/>
            <wp:docPr id="100019" name="图片 10001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图片 10001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drawing>
          <wp:inline distT="0" distB="0" distL="114300" distR="114300">
            <wp:extent cx="2924175" cy="1857375"/>
            <wp:effectExtent l="0" t="0" r="9525" b="9525"/>
            <wp:docPr id="100021" name="图片 10002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1" name="图片 10002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（1）</w:t>
      </w:r>
      <w:r>
        <w:rPr>
          <w:rFonts w:ascii="宋体" w:hAnsi="宋体" w:eastAsia="宋体" w:cs="宋体"/>
          <w:color w:val="000000"/>
        </w:rPr>
        <w:t>推测台风“梅花”能够长驱北上的原因。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（2）</w:t>
      </w:r>
      <w:r>
        <w:rPr>
          <w:rFonts w:ascii="宋体" w:hAnsi="宋体" w:eastAsia="宋体" w:cs="宋体"/>
          <w:color w:val="000000"/>
        </w:rPr>
        <w:t>台风“梅花”肆虐，但并未形成洪灾，得益于地理信息技术的应用——虚拟再现真实水利工程，构建智慧水利体系。构建虚拟模型需要各类数据（下表）。根据所学知识将表补充完整。</w:t>
      </w:r>
    </w:p>
    <w:tbl>
      <w:tblPr>
        <w:tblStyle w:val="4"/>
        <w:tblW w:w="723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1845"/>
        <w:gridCol w:w="53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W w:w="184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基础属性数据</w:t>
            </w:r>
          </w:p>
        </w:tc>
        <w:tc>
          <w:tcPr>
            <w:tcW w:w="53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color w:val="000000"/>
              </w:rPr>
              <w:t>____</w:t>
            </w:r>
            <w:r>
              <w:rPr>
                <w:rFonts w:ascii="宋体" w:hAnsi="宋体" w:eastAsia="宋体" w:cs="宋体"/>
                <w:color w:val="000000"/>
              </w:rPr>
              <w:t>、湖泊、水库、堤防、蓄滞洪区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W w:w="184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监测数据</w:t>
            </w:r>
          </w:p>
        </w:tc>
        <w:tc>
          <w:tcPr>
            <w:tcW w:w="53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雨情、</w:t>
            </w:r>
            <w:r>
              <w:rPr>
                <w:color w:val="000000"/>
              </w:rPr>
              <w:t>____</w:t>
            </w:r>
            <w:r>
              <w:rPr>
                <w:rFonts w:ascii="宋体" w:hAnsi="宋体" w:eastAsia="宋体" w:cs="宋体"/>
                <w:color w:val="000000"/>
              </w:rPr>
              <w:t>、</w:t>
            </w:r>
            <w:r>
              <w:rPr>
                <w:color w:val="000000"/>
              </w:rPr>
              <w:t>____</w:t>
            </w:r>
            <w:r>
              <w:rPr>
                <w:rFonts w:ascii="宋体" w:hAnsi="宋体" w:eastAsia="宋体" w:cs="宋体"/>
                <w:color w:val="000000"/>
              </w:rPr>
              <w:t>、流速、泥沙、取用水量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W w:w="184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跨行业共享数据</w:t>
            </w:r>
          </w:p>
        </w:tc>
        <w:tc>
          <w:tcPr>
            <w:tcW w:w="53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气象、岩土、生态环保、自然资源、社会经济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W w:w="184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hAnsi="宋体" w:eastAsia="宋体" w:cs="宋体"/>
                <w:color w:val="000000"/>
              </w:rPr>
              <w:t>地理空间数据</w:t>
            </w:r>
          </w:p>
        </w:tc>
        <w:tc>
          <w:tcPr>
            <w:tcW w:w="53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color w:val="000000"/>
              </w:rPr>
              <w:t>____</w:t>
            </w:r>
            <w:r>
              <w:rPr>
                <w:rFonts w:ascii="宋体" w:hAnsi="宋体" w:eastAsia="宋体" w:cs="宋体"/>
                <w:color w:val="000000"/>
              </w:rPr>
              <w:t>影像、数字正射影像、数字高程模型等</w:t>
            </w:r>
          </w:p>
        </w:tc>
      </w:tr>
    </w:tbl>
    <w:p>
      <w:pPr>
        <w:spacing w:line="360" w:lineRule="auto"/>
        <w:jc w:val="left"/>
        <w:textAlignment w:val="center"/>
        <w:rPr>
          <w:color w:val="000000"/>
        </w:rPr>
      </w:pP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（3）</w:t>
      </w:r>
      <w:r>
        <w:rPr>
          <w:rFonts w:ascii="宋体" w:hAnsi="宋体" w:eastAsia="宋体" w:cs="宋体"/>
          <w:color w:val="000000"/>
        </w:rPr>
        <w:t>解释台风卢碧“逆行”时深圳风速偏小的原因。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18. </w:t>
      </w:r>
      <w:r>
        <w:rPr>
          <w:rFonts w:ascii="宋体" w:hAnsi="宋体" w:eastAsia="宋体" w:cs="宋体"/>
          <w:color w:val="000000"/>
        </w:rPr>
        <w:t>阅读图文材料，完成下列要求。</w:t>
      </w:r>
    </w:p>
    <w:p>
      <w:pPr>
        <w:spacing w:line="360" w:lineRule="auto"/>
        <w:ind w:firstLine="420"/>
        <w:jc w:val="left"/>
        <w:textAlignment w:val="center"/>
        <w:rPr>
          <w:color w:val="000000"/>
        </w:rPr>
      </w:pPr>
      <w:r>
        <w:rPr>
          <w:rFonts w:ascii="楷体" w:hAnsi="楷体" w:eastAsia="楷体" w:cs="楷体"/>
          <w:color w:val="000000"/>
        </w:rPr>
        <w:t>材料一：北京延庆和张家口怀来（沙城为怀来县城）同处延怀河谷，是世界上唯一位于国家首都的葡萄及葡萄酒产区。“延怀河谷葡萄”获得了农产品地理标志认证，智能温室和设施日光温室种植的阳光玫瑰、魏可等鲜食有机葡萄晶莹剔透、浑圆饱满，基本由北京、天津及周边游客采摘购买。下图示意延怀河谷及周边地形。</w:t>
      </w:r>
    </w:p>
    <w:p>
      <w:pPr>
        <w:spacing w:line="360" w:lineRule="auto"/>
        <w:ind w:firstLine="420"/>
        <w:jc w:val="left"/>
        <w:textAlignment w:val="center"/>
        <w:rPr>
          <w:color w:val="000000"/>
        </w:rPr>
      </w:pPr>
      <w:r>
        <w:rPr>
          <w:rFonts w:ascii="楷体" w:hAnsi="楷体" w:eastAsia="楷体" w:cs="楷体"/>
          <w:color w:val="000000"/>
        </w:rPr>
        <w:t>材料二：延怀河谷每年都会发生雹灾，导致葡萄减产。雹云大部分自西、西北入境，然后向东、向南移动。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3886200" cy="2466975"/>
            <wp:effectExtent l="0" t="0" r="0" b="9525"/>
            <wp:docPr id="100023" name="图片 10002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3" name="图片 10002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（1）</w:t>
      </w:r>
      <w:r>
        <w:rPr>
          <w:rFonts w:ascii="宋体" w:hAnsi="宋体" w:eastAsia="宋体" w:cs="宋体"/>
          <w:color w:val="000000"/>
        </w:rPr>
        <w:t>分析延怀河谷葡萄产区的独特地理区位优势。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（2）</w:t>
      </w:r>
      <w:r>
        <w:rPr>
          <w:rFonts w:ascii="宋体" w:hAnsi="宋体" w:eastAsia="宋体" w:cs="宋体"/>
          <w:color w:val="000000"/>
        </w:rPr>
        <w:t>比较官厅水库西北与东南沿岸冰雹强度的差异并分析原因。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（3）</w:t>
      </w:r>
      <w:r>
        <w:rPr>
          <w:rFonts w:ascii="宋体" w:hAnsi="宋体" w:eastAsia="宋体" w:cs="宋体"/>
          <w:color w:val="000000"/>
        </w:rPr>
        <w:t>为减轻葡萄受灾，提出防雹应对措施。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19. </w:t>
      </w:r>
      <w:r>
        <w:rPr>
          <w:rFonts w:ascii="宋体" w:hAnsi="宋体" w:eastAsia="宋体" w:cs="宋体"/>
          <w:color w:val="000000"/>
        </w:rPr>
        <w:t>阅读图文材料，完成下列要求。</w:t>
      </w:r>
    </w:p>
    <w:p>
      <w:pPr>
        <w:spacing w:line="360" w:lineRule="auto"/>
        <w:ind w:firstLine="420"/>
        <w:jc w:val="left"/>
        <w:textAlignment w:val="center"/>
        <w:rPr>
          <w:color w:val="000000"/>
        </w:rPr>
      </w:pPr>
      <w:r>
        <w:rPr>
          <w:rFonts w:ascii="楷体" w:hAnsi="楷体" w:eastAsia="楷体" w:cs="楷体"/>
          <w:color w:val="000000"/>
        </w:rPr>
        <w:t>青藏高原终年寒冷，冻土遍布，冻土的冻胀和融化变形是最为常见的冻土灾害，成为高原建设的大难题。青藏公路全线起伏平缓，但路面坑洼不平，尤其是黑色沥青路面，车行其上颠簸异常，常被人们称为“搓板路”。高原的建设是百年大计，需要考虑几十年甚至百年间的工程安全，建设者们为解决这个难题想出各种办法，保障了高原道路在运行时的稳定性和安全性。下图为青藏高原某路段“搓板路”景观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4371975" cy="2733675"/>
            <wp:effectExtent l="0" t="0" r="9525" b="9525"/>
            <wp:docPr id="100025" name="图片 10002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5" name="图片 10002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（1）</w:t>
      </w:r>
      <w:r>
        <w:rPr>
          <w:rFonts w:ascii="宋体" w:hAnsi="宋体" w:eastAsia="宋体" w:cs="宋体"/>
          <w:color w:val="000000"/>
        </w:rPr>
        <w:t>分析黑色沥青路面形成“搓板路”的原因。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（2）</w:t>
      </w:r>
      <w:r>
        <w:rPr>
          <w:rFonts w:ascii="宋体" w:hAnsi="宋体" w:eastAsia="宋体" w:cs="宋体"/>
          <w:color w:val="000000"/>
        </w:rPr>
        <w:t>指出解决冻土难题的关键和具体的措施。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20. </w:t>
      </w:r>
      <w:r>
        <w:rPr>
          <w:rFonts w:ascii="宋体" w:hAnsi="宋体" w:eastAsia="宋体" w:cs="宋体"/>
          <w:color w:val="000000"/>
        </w:rPr>
        <w:t>阅读材料，完成下列要求。</w:t>
      </w:r>
    </w:p>
    <w:p>
      <w:pPr>
        <w:spacing w:line="360" w:lineRule="auto"/>
        <w:ind w:firstLine="420"/>
        <w:jc w:val="left"/>
        <w:textAlignment w:val="center"/>
        <w:rPr>
          <w:color w:val="000000"/>
        </w:rPr>
      </w:pPr>
      <w:r>
        <w:rPr>
          <w:rFonts w:ascii="楷体" w:hAnsi="楷体" w:eastAsia="楷体" w:cs="楷体"/>
          <w:color w:val="000000"/>
        </w:rPr>
        <w:t>各种形式的发展用地给自然生境（一个种群居住和生活的区域）留下一些很小的孤岛（生态岛）。这种生境破碎化，使野生动植物种群减小，易于灭绝。在美国东部一些小而分散的落叶林斑块孤岛，都是由原来茂盛的大面积分布的原始森林残留下来的。这些孤岛所支持的物种数量，远远少于那些大片未受人类干扰的土地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（1）</w:t>
      </w:r>
      <w:r>
        <w:rPr>
          <w:rFonts w:ascii="宋体" w:hAnsi="宋体" w:eastAsia="宋体" w:cs="宋体"/>
          <w:color w:val="000000"/>
        </w:rPr>
        <w:t>分析美国东部生态孤岛的形成原因。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（2）</w:t>
      </w:r>
      <w:r>
        <w:rPr>
          <w:rFonts w:ascii="宋体" w:hAnsi="宋体" w:eastAsia="宋体" w:cs="宋体"/>
          <w:color w:val="000000"/>
        </w:rPr>
        <w:t>分析生态岛中物种多样性减少易于灭绝的原因。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br w:type="textWrapping"/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br w:type="page"/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rPr>
          <w:rFonts w:ascii="宋体" w:hAnsi="宋体" w:eastAsia="宋体" w:cs="宋体"/>
          <w:b/>
          <w:color w:val="000000"/>
          <w:sz w:val="32"/>
        </w:rPr>
        <w:t>河北省“五个一”名校联盟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rPr>
          <w:rFonts w:ascii="宋体" w:hAnsi="宋体" w:eastAsia="宋体" w:cs="宋体"/>
          <w:b/>
          <w:color w:val="000000"/>
          <w:sz w:val="32"/>
        </w:rPr>
        <w:t>2023届高三年级联考（2022.12）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rPr>
          <w:rFonts w:ascii="宋体" w:hAnsi="宋体" w:eastAsia="宋体" w:cs="宋体"/>
          <w:b/>
          <w:color w:val="000000"/>
          <w:sz w:val="32"/>
        </w:rPr>
        <w:t>地理试卷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rPr>
          <w:rFonts w:ascii="宋体" w:hAnsi="宋体" w:eastAsia="宋体" w:cs="宋体"/>
          <w:b/>
          <w:color w:val="000000"/>
          <w:sz w:val="24"/>
        </w:rPr>
        <w:t>（满分：100分，测试时间：75分钟）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b/>
          <w:color w:val="000000"/>
          <w:sz w:val="24"/>
        </w:rPr>
        <w:t>一、选择题：本题共16小题，每小题3分，共48分，在每小题给出的四个选项中，只有一项是符合题目要求的。</w: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【1~2题答案】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1. D    2. D</w: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【3~4题答案】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3. D    4. C</w: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【5~6题答案】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5. B    6. B</w: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【7~9题答案】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7. C    8. A    9. B</w: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【10~11题答案】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10. B    11. C</w: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【12~13题答案】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12. D    13. A</w: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【14~16题答案】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14. C    15. C    16. B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b/>
          <w:color w:val="000000"/>
          <w:sz w:val="24"/>
        </w:rPr>
        <w:t>二、非选择题：本题共4小题，共52分。</w: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【17题答案】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（1）9月海温高，提供的能量大，台风势力强；副热带高压收缩东退(偏东偏弱)，利于“梅花”北上；北方冷空气势力弱；“梅花”沿海岸线北上(主体部分在海上)，水汽(能量)得到不断补充。</w:t>
      </w:r>
      <w:r>
        <w:rPr>
          <w:color w:val="000000"/>
        </w:rPr>
        <w:br w:type="textWrapping"/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（2）    ①. 河道（河流）    ②. 流量</w:t>
      </w:r>
      <w:r>
        <w:rPr>
          <w:color w:val="000000"/>
        </w:rPr>
        <w:br w:type="textWrapping"/>
      </w:r>
      <w:r>
        <w:rPr>
          <w:color w:val="000000"/>
        </w:rPr>
        <w:t xml:space="preserve">    ③. 水位    ④. 遥感</w:t>
      </w:r>
      <w:r>
        <w:rPr>
          <w:color w:val="000000"/>
        </w:rPr>
        <w:br w:type="textWrapping"/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（3）台风“逆行”时，深圳位于台风移动路径北（左）侧；台风移动方向和局地气旋流方向大致相反，使风速减小。</w:t>
      </w:r>
      <w:r>
        <w:rPr>
          <w:color w:val="000000"/>
        </w:rPr>
        <w:br w:type="textWrapping"/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【18题答案】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（1）延怀河谷葡萄产区地处首都北京，市场消费潜力巨大；首都科技发达，为其发展提供重要的科技支撑；首都是国际交往中心，有利于加强国际合作，打造世界一流的葡萄产区。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（2）西北沿岸冰雹强度大，东南沿岸冰雹强度小。雹云自西、西北入境，越过水库，由于水温较低，上升气流减弱，雹云的发展受到抑制，故东南沿岸冰雹强度小。</w:t>
      </w:r>
      <w:r>
        <w:rPr>
          <w:color w:val="000000"/>
        </w:rPr>
        <w:br w:type="textWrapping"/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（3）修建防雹网，发射防雹炮弹，播撒催化剂。</w: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【19题答案】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（1）夏季，冻土融化，导致路基沉陷；黑色沥青路面吸收和积聚热量更多，会加重冻土融化；冬季，冻土冻结膨胀，导致地面隆起。如此反复，形成“搓板路”。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（2）关键：主动冷却(保护冻土温度、路面降温、减少路面向地下传递热量)</w:t>
      </w:r>
      <w:r>
        <w:rPr>
          <w:color w:val="000000"/>
        </w:rPr>
        <w:br w:type="textWrapping"/>
      </w:r>
      <w:r>
        <w:rPr>
          <w:color w:val="000000"/>
        </w:rPr>
        <w:t>具体措施：抬高路面；改换路基材质和结构；路的两侧加装热棒以散热降温；以桥代路等。</w:t>
      </w:r>
      <w:r>
        <w:rPr>
          <w:color w:val="000000"/>
        </w:rPr>
        <w:br w:type="textWrapping"/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【20题答案】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（1）农田、牧场等农业用地扩大；城镇、工业、道路交通等建设用地扩大，破坏（占用）大量的森林。</w:t>
      </w:r>
      <w:r>
        <w:rPr>
          <w:color w:val="000000"/>
        </w:rPr>
        <w:br w:type="textWrapping"/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（2）生态岛生存空间小，不能提供充足的食物；种群数量少，繁殖能力弱；大量近亲繁殖，（后代不健康），导致种群慢慢灭绝。</w:t>
      </w:r>
      <w:r>
        <w:rPr>
          <w:color w:val="000000"/>
        </w:rPr>
        <w:br w:type="textWrapping"/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br w:type="textWrapping"/>
      </w:r>
    </w:p>
    <w:p>
      <w:pPr>
        <w:spacing w:line="360" w:lineRule="auto"/>
        <w:jc w:val="both"/>
        <w:textAlignment w:val="center"/>
        <w:rPr>
          <w:color w:val="000000"/>
        </w:rPr>
        <w:sectPr>
          <w:headerReference r:id="rId5" w:type="first"/>
          <w:footerReference r:id="rId8" w:type="first"/>
          <w:headerReference r:id="rId3" w:type="default"/>
          <w:footerReference r:id="rId6" w:type="default"/>
          <w:headerReference r:id="rId4" w:type="even"/>
          <w:footerReference r:id="rId7" w:type="even"/>
          <w:pgSz w:w="11906" w:h="16838"/>
          <w:pgMar w:top="910" w:right="1080" w:bottom="1440" w:left="1080" w:header="152" w:footer="0" w:gutter="0"/>
          <w:cols w:space="720" w:num="1"/>
          <w:docGrid w:type="lines" w:linePitch="312" w:charSpace="0"/>
        </w:sectPr>
      </w:pPr>
    </w:p>
    <w:p>
      <w:pPr>
        <w:rPr>
          <w:rFonts w:hint="eastAsia" w:eastAsia="宋体"/>
          <w:lang w:eastAsia="zh-CN"/>
        </w:rPr>
      </w:pPr>
    </w:p>
    <w:sectPr>
      <w:pgSz w:w="11906" w:h="16838"/>
      <w:pgMar w:top="1440" w:right="1800" w:bottom="1440" w:left="1800" w:header="708" w:footer="708" w:gutter="0"/>
      <w:cols w:space="708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center"/>
    </w:pPr>
    <w:r>
      <w:t>第</w:t>
    </w:r>
    <w:r>
      <w:fldChar w:fldCharType="begin"/>
    </w:r>
    <w:r>
      <w:instrText xml:space="preserve">PAGE</w:instrText>
    </w:r>
    <w:r>
      <w:fldChar w:fldCharType="separate"/>
    </w:r>
    <w:r>
      <w:t>1</w:t>
    </w:r>
    <w:r>
      <w:fldChar w:fldCharType="end"/>
    </w:r>
    <w:r>
      <w:t>页/共</w:t>
    </w:r>
    <w:r>
      <w:fldChar w:fldCharType="begin"/>
    </w:r>
    <w:r>
      <w:instrText xml:space="preserve">NUMPAGES</w:instrText>
    </w:r>
    <w:r>
      <w:fldChar w:fldCharType="separate"/>
    </w:r>
    <w:r>
      <w:t>1</w:t>
    </w:r>
    <w:r>
      <w:fldChar w:fldCharType="end"/>
    </w:r>
    <w:r>
      <w:t>页</w:t>
    </w:r>
  </w:p>
  <w:p>
    <w:pPr>
      <w:pStyle w:val="2"/>
      <w:rPr>
        <w:rFonts w:hint="eastAsia"/>
      </w:rPr>
    </w:pPr>
  </w:p>
  <w:p>
    <w:pPr>
      <w:tabs>
        <w:tab w:val="center" w:pos="4153"/>
        <w:tab w:val="right" w:pos="8306"/>
      </w:tabs>
      <w:snapToGrid w:val="0"/>
      <w:jc w:val="left"/>
      <w:rPr>
        <w:rFonts w:cs="Times New Roman"/>
        <w:kern w:val="0"/>
        <w:sz w:val="2"/>
        <w:szCs w:val="2"/>
      </w:rPr>
    </w:pPr>
    <w:r>
      <w:rPr>
        <w:color w:val="FFFFFF"/>
        <w:sz w:val="2"/>
        <w:szCs w:val="2"/>
      </w:rPr>
      <w:pict>
        <v:shape id="PowerPlusWaterMarkObject1453549720" o:spid="_x0000_s2051" o:spt="136" alt="学科网 zxxk.com" type="#_x0000_t136" style="position:absolute;left:0pt;margin-left:158.95pt;margin-top:407.9pt;height:2.85pt;width:2.85pt;mso-position-horizontal-relative:margin;mso-position-vertical-relative:margin;rotation:20643840f;z-index:-251657216;mso-width-relative:page;mso-height-relative:page;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zxxk.com" style="font-family:宋体;font-size:8pt;v-same-letter-heights:f;v-text-align:center;"/>
        </v:shape>
      </w:pict>
    </w:r>
    <w:r>
      <w:rPr>
        <w:color w:val="FFFFFF"/>
        <w:sz w:val="2"/>
        <w:szCs w:val="2"/>
      </w:rPr>
      <w:pict>
        <v:shape id="图片 5" o:spid="_x0000_s2052" o:spt="75" alt="学科网 zxxk.com" type="#_x0000_t75" style="position:absolute;left:0pt;margin-left:64.05pt;margin-top:-20.75pt;height:0.05pt;width:0.05pt;z-index:251661312;mso-width-relative:page;mso-height-relative:page;" filled="f" o:preferrelative="t" stroked="f" coordsize="21600,21600">
          <v:path/>
          <v:fill on="f" focussize="0,0"/>
          <v:stroke on="f" joinstyle="miter"/>
          <v:imagedata r:id="rId1" r:href="rId2" o:title=""/>
          <o:lock v:ext="edit" aspectratio="t"/>
        </v:shape>
      </w:pict>
    </w:r>
    <w:r>
      <w:rPr>
        <w:rFonts w:hint="eastAsia" w:cs="Times New Roman"/>
        <w:color w:val="FFFFFF"/>
        <w:kern w:val="0"/>
        <w:sz w:val="2"/>
        <w:szCs w:val="2"/>
      </w:rPr>
      <w:t>学科网（北京）股份有限公司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bottom w:val="none" w:color="auto" w:sz="0" w:space="1"/>
      </w:pBdr>
      <w:snapToGrid w:val="0"/>
      <w:rPr>
        <w:rFonts w:cs="Times New Roman"/>
        <w:kern w:val="0"/>
        <w:sz w:val="2"/>
        <w:szCs w:val="2"/>
      </w:rPr>
    </w:pPr>
    <w:r>
      <w:pict>
        <v:shape id="图片 4" o:spid="_x0000_s2049" o:spt="75" alt="学科网 zxxk.com" type="#_x0000_t75" style="position:absolute;left:0pt;margin-left:351pt;margin-top:8.45pt;height:0.75pt;width:0.75pt;z-index:251660288;mso-width-relative:page;mso-height-relative:page;" filled="f" o:preferrelative="t" stroked="f" coordsize="21600,21600">
          <v:path/>
          <v:fill on="f" focussize="0,0"/>
          <v:stroke on="f" joinstyle="miter"/>
          <v:imagedata r:id="rId1" r:href="rId2" o:title=""/>
          <o:lock v:ext="edit" aspectratio="t"/>
        </v:shape>
      </w:pict>
    </w:r>
    <w:r>
      <w:rPr>
        <w:rFonts w:hint="eastAsia"/>
        <w:color w:val="FFFFFF"/>
        <w:sz w:val="2"/>
        <w:szCs w:val="2"/>
      </w:rPr>
      <w:pict>
        <v:shape id="_x0000_i1025" o:spt="136" alt="学科网 zxxk.com" type="#_x0000_t136" style="height:0.85pt;width:0.85pt;" filled="f" stroked="f" coordsize="21600,21600">
          <v:path/>
          <v:fill on="f" color2="#AAAAAA" focussize="0,0"/>
          <v:stroke on="f" color="#FFFFFF"/>
          <v:imagedata o:title=""/>
          <o:lock v:ext="edit"/>
          <v:textpath on="t" fitshape="t" fitpath="t" trim="t" xscale="f" string="学科网（北京）股份有限公司 " style="font-family:宋体;font-size:8pt;v-rotate-letters:f;v-same-letter-heights:f;v-text-align:center;v-text-spacing:78650f;"/>
          <w10:wrap type="none"/>
          <w10:anchorlock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2JjNzU1NTFmNThkM2I4ODMxYWRmYTgyY2ZkZWNlZWQifQ=="/>
  </w:docVars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60978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0278E"/>
    <w:rsid w:val="00974E0F"/>
    <w:rsid w:val="00982128"/>
    <w:rsid w:val="009A27BF"/>
    <w:rsid w:val="009B5666"/>
    <w:rsid w:val="009C4252"/>
    <w:rsid w:val="009E203F"/>
    <w:rsid w:val="00A07DF2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17896135"/>
    <w:rsid w:val="1B7F1C91"/>
    <w:rsid w:val="35433501"/>
    <w:rsid w:val="38274566"/>
    <w:rsid w:val="43C47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宋体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99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iPriority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宋体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link w:val="7"/>
    <w:qFormat/>
    <w:uiPriority w:val="99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styleId="6">
    <w:name w:val="Hyperlink"/>
    <w:basedOn w:val="5"/>
    <w:unhideWhenUsed/>
    <w:qFormat/>
    <w:uiPriority w:val="99"/>
    <w:rPr>
      <w:color w:val="0000FF"/>
      <w:u w:val="single"/>
    </w:rPr>
  </w:style>
  <w:style w:type="character" w:customStyle="1" w:styleId="7">
    <w:name w:val="页眉 Char"/>
    <w:basedOn w:val="5"/>
    <w:link w:val="3"/>
    <w:qFormat/>
    <w:uiPriority w:val="99"/>
    <w:rPr>
      <w:kern w:val="2"/>
      <w:sz w:val="18"/>
      <w:szCs w:val="24"/>
    </w:rPr>
  </w:style>
  <w:style w:type="paragraph" w:styleId="8">
    <w:name w:val="No Spacing"/>
    <w:qFormat/>
    <w:uiPriority w:val="1"/>
    <w:rPr>
      <w:rFonts w:eastAsia="Microsoft YaHei UI" w:asciiTheme="minorHAnsi" w:hAnsiTheme="minorHAnsi" w:cstheme="minorBidi"/>
      <w:sz w:val="22"/>
      <w:szCs w:val="22"/>
      <w:lang w:val="en-US" w:eastAsia="zh-CN" w:bidi="ar-SA"/>
    </w:rPr>
  </w:style>
  <w:style w:type="paragraph" w:styleId="9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8" Type="http://schemas.openxmlformats.org/officeDocument/2006/relationships/fontTable" Target="fontTable.xml"/><Relationship Id="rId27" Type="http://schemas.openxmlformats.org/officeDocument/2006/relationships/customXml" Target="../customXml/item2.xml"/><Relationship Id="rId26" Type="http://schemas.openxmlformats.org/officeDocument/2006/relationships/customXml" Target="../customXml/item1.xml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wmf"/><Relationship Id="rId17" Type="http://schemas.openxmlformats.org/officeDocument/2006/relationships/image" Target="media/image9.wmf"/><Relationship Id="rId16" Type="http://schemas.openxmlformats.org/officeDocument/2006/relationships/image" Target="media/image8.wmf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file:///D:\qq&#25991;&#20214;\712321467\Image\C2C\Image2\%252525257B75232B38-A165-1FB7-499C-2E1C792CACB5%252525257D.png" TargetMode="External"/><Relationship Id="rId1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file:///D:\qq&#25991;&#20214;\712321467\Image\C2C\Image2\%252525257B75232B38-A165-1FB7-499C-2E1C792CACB5%252525257D.png" TargetMode="External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49"/>
    <customShpInfo spid="_x0000_s2051"/>
    <customShpInfo spid="_x0000_s2052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5590A68-9B32-4A13-894C-0880676F012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学科网 www.zxxk.com</Company>
  <Pages>11</Pages>
  <Words>4045</Words>
  <Characters>4277</Characters>
  <Lines>0</Lines>
  <Paragraphs>0</Paragraphs>
  <TotalTime>4</TotalTime>
  <ScaleCrop>false</ScaleCrop>
  <LinksUpToDate>false</LinksUpToDate>
  <CharactersWithSpaces>4535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2023-01-11T14:54:00Z</dcterms:created>
  <dc:creator>学科网试题生产平台</dc:creator>
  <dc:description>3148453343305728</dc:description>
  <cp:lastModifiedBy>不过如此</cp:lastModifiedBy>
  <dcterms:modified xsi:type="dcterms:W3CDTF">2023-01-12T08:56:54Z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  <property fmtid="{D5CDD505-2E9C-101B-9397-08002B2CF9AE}" pid="6" name="KSOProductBuildVer">
    <vt:lpwstr>2052-11.1.0.13703</vt:lpwstr>
  </property>
  <property fmtid="{D5CDD505-2E9C-101B-9397-08002B2CF9AE}" pid="7" name="ICV">
    <vt:lpwstr>72EE6698D14149348EB53E3003A4B692</vt:lpwstr>
  </property>
</Properties>
</file>