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aps w:val="0"/>
          <w:color w:val="E8402C"/>
          <w:sz w:val="52"/>
        </w:rPr>
        <w:t>DYLAN ESCOBAR</w:t>
      </w:r>
    </w:p>
    <w:p>
      <w:pPr>
        <w:spacing w:after="80"/>
      </w:pPr>
      <w:r>
        <w:rPr>
          <w:rFonts w:ascii="Calibri" w:hAnsi="Calibri"/>
          <w:b w:val="0"/>
          <w:i/>
          <w:caps w:val="0"/>
          <w:color w:val="0E0E10"/>
          <w:sz w:val="23"/>
        </w:rPr>
        <w:t>Freelance Direct-Response Creative Strategist</w:t>
      </w:r>
    </w:p>
    <w:p>
      <w:pPr>
        <w:spacing w:after="0"/>
        <w:pBdr>
          <w:bottom w:val="single" w:sz="8" w:space="6" w:color="E8402C"/>
        </w:pBdr>
      </w:pPr>
      <w:r>
        <w:rPr>
          <w:rFonts w:ascii="Calibri" w:hAnsi="Calibri"/>
          <w:b w:val="0"/>
          <w:i w:val="0"/>
          <w:caps w:val="0"/>
          <w:color w:val="0E0E10"/>
          <w:sz w:val="20"/>
        </w:rPr>
        <w:t>dylan@dylanescobar.com</w:t>
      </w:r>
      <w:r>
        <w:rPr>
          <w:rFonts w:ascii="Calibri" w:hAnsi="Calibri"/>
          <w:b w:val="0"/>
          <w:i w:val="0"/>
          <w:caps w:val="0"/>
          <w:color w:val="E8402C"/>
          <w:sz w:val="20"/>
        </w:rPr>
        <w:t xml:space="preserve">   |   </w:t>
      </w:r>
      <w:r>
        <w:rPr>
          <w:rFonts w:ascii="Calibri" w:hAnsi="Calibri"/>
          <w:b w:val="0"/>
          <w:i w:val="0"/>
          <w:caps w:val="0"/>
          <w:color w:val="0E0E10"/>
          <w:sz w:val="20"/>
        </w:rPr>
        <w:t>1-661-525-8048</w:t>
      </w:r>
    </w:p>
    <w:p>
      <w:pPr>
        <w:keepNext/>
        <w:spacing w:before="240" w:after="60"/>
        <w:pBdr>
          <w:bottom w:val="single" w:sz="6" w:space="2" w:color="E8402C"/>
        </w:pBdr>
      </w:pPr>
      <w:r>
        <w:rPr>
          <w:rFonts w:ascii="Calibri" w:hAnsi="Calibri"/>
          <w:b/>
          <w:i w:val="0"/>
          <w:caps/>
          <w:color w:val="E8402C"/>
          <w:sz w:val="23"/>
        </w:rPr>
        <w:t>Summary</w:t>
      </w:r>
    </w:p>
    <w:p>
      <w:pPr>
        <w:spacing w:after="120"/>
      </w:pPr>
      <w:r>
        <w:rPr>
          <w:rFonts w:ascii="Calibri" w:hAnsi="Calibri"/>
          <w:b w:val="0"/>
          <w:i w:val="0"/>
          <w:caps w:val="0"/>
          <w:color w:val="0E0E10"/>
          <w:sz w:val="21"/>
        </w:rPr>
        <w:t>Direct-response creative strategist specializing in Meta ad hook/script writing, static and AI-video ad production, and ad research for DTC brands. Grew a YouTube channel to 700K+ lifetime views and 800+ subscribers with zero ad spend (91%+ like ratio, 42K-view top clip), applying audience-retention and hook-writing principles directly to client ad work.</w:t>
      </w:r>
    </w:p>
    <w:p>
      <w:pPr>
        <w:keepNext/>
        <w:spacing w:before="240" w:after="60"/>
        <w:pBdr>
          <w:bottom w:val="single" w:sz="6" w:space="2" w:color="E8402C"/>
        </w:pBdr>
      </w:pPr>
      <w:r>
        <w:rPr>
          <w:rFonts w:ascii="Calibri" w:hAnsi="Calibri"/>
          <w:b/>
          <w:i w:val="0"/>
          <w:caps/>
          <w:color w:val="E8402C"/>
          <w:sz w:val="23"/>
        </w:rPr>
        <w:t>Client Experience</w:t>
      </w:r>
    </w:p>
    <w:p>
      <w:pPr>
        <w:tabs>
          <w:tab w:pos="10368" w:val="right"/>
        </w:tabs>
        <w:spacing w:before="80" w:after="40"/>
      </w:pPr>
      <w:r>
        <w:rPr>
          <w:rFonts w:ascii="Calibri" w:hAnsi="Calibri"/>
          <w:b/>
          <w:i w:val="0"/>
          <w:caps w:val="0"/>
          <w:color w:val="0E0E10"/>
          <w:sz w:val="21"/>
        </w:rPr>
        <w:t>Freelance Creative Strategist — Self-Employed (Remote)</w:t>
      </w:r>
      <w:r>
        <w:rPr>
          <w:rFonts w:ascii="Calibri" w:hAnsi="Calibri"/>
          <w:b w:val="0"/>
          <w:i w:val="0"/>
          <w:caps w:val="0"/>
          <w:color w:val="0E0E10"/>
          <w:sz w:val="21"/>
        </w:rPr>
        <w:tab/>
      </w:r>
      <w:r>
        <w:rPr>
          <w:rFonts w:ascii="Calibri" w:hAnsi="Calibri"/>
          <w:b w:val="0"/>
          <w:i/>
          <w:caps w:val="0"/>
          <w:color w:val="0E0E10"/>
          <w:sz w:val="20"/>
        </w:rPr>
        <w:t>May 2025 – Present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aps w:val="0"/>
          <w:color w:val="0E0E10"/>
          <w:sz w:val="21"/>
        </w:rPr>
        <w:t>Engaged by a multi-brand DTC portfolio (Tailored Canvases, WonderMe, TellMyTale) to build full ad script systems across three brands in parallel (May–June 2026).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aps w:val="0"/>
          <w:color w:val="0E0E10"/>
          <w:sz w:val="21"/>
        </w:rPr>
        <w:t>Tailored Canvases: Delivered three production-ready ad scripts with beat-by-beat structure and optimization notes for a home decor DTC brand.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aps w:val="0"/>
          <w:color w:val="0E0E10"/>
          <w:sz w:val="21"/>
        </w:rPr>
        <w:t>WonderMe: Wrote three production-ready scripts including 36 hook variations for Meta ad testing.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aps w:val="0"/>
          <w:color w:val="0E0E10"/>
          <w:sz w:val="21"/>
        </w:rPr>
        <w:t>TellMyTale: Built full ad script systems across two product lines (Dinosaurs, Superhero); managed a live $330 test spend achieving a 40.80% new-visitor rate and 1.5 blended ROAS.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aps w:val="0"/>
          <w:color w:val="0E0E10"/>
          <w:sz w:val="21"/>
        </w:rPr>
        <w:t>Resolved a client payment dispute independently via Upwork's milestone system, securing full payment without conceding to an off-platform reduced settlement.</w:t>
      </w:r>
    </w:p>
    <w:p>
      <w:pPr>
        <w:keepNext/>
        <w:spacing w:before="240" w:after="60"/>
        <w:pBdr>
          <w:bottom w:val="single" w:sz="6" w:space="2" w:color="E8402C"/>
        </w:pBdr>
      </w:pPr>
      <w:r>
        <w:rPr>
          <w:rFonts w:ascii="Calibri" w:hAnsi="Calibri"/>
          <w:b/>
          <w:i w:val="0"/>
          <w:caps/>
          <w:color w:val="E8402C"/>
          <w:sz w:val="23"/>
        </w:rPr>
        <w:t>Training Project — Copy Millions Blueprint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aps w:val="0"/>
          <w:color w:val="0E0E10"/>
          <w:sz w:val="21"/>
        </w:rPr>
        <w:t>Outdoor Vitals (ultralight backpacking gear) case study: Built a full brand research document and produced 5 ad scripts and static ad concepts as an applied training project within the Copy Millions Blueprint coaching program.</w:t>
      </w:r>
    </w:p>
    <w:p>
      <w:pPr>
        <w:keepNext/>
        <w:spacing w:before="240" w:after="60"/>
        <w:pBdr>
          <w:bottom w:val="single" w:sz="6" w:space="2" w:color="E8402C"/>
        </w:pBdr>
      </w:pPr>
      <w:r>
        <w:rPr>
          <w:rFonts w:ascii="Calibri" w:hAnsi="Calibri"/>
          <w:b/>
          <w:i w:val="0"/>
          <w:caps/>
          <w:color w:val="E8402C"/>
          <w:sz w:val="23"/>
        </w:rPr>
        <w:t>Additional Spec Work (Self-Directed)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aps w:val="0"/>
          <w:color w:val="0E0E10"/>
          <w:sz w:val="21"/>
        </w:rPr>
        <w:t>Spec ad development across DTC verticals: electrolyte drinks, travel gear, cosmetics, wellness, and other consumer products — building buyer personas, hook libraries, and full video scripts.</w:t>
      </w:r>
    </w:p>
    <w:p>
      <w:pPr>
        <w:keepNext/>
        <w:spacing w:before="240" w:after="60"/>
        <w:pBdr>
          <w:bottom w:val="single" w:sz="6" w:space="2" w:color="E8402C"/>
        </w:pBdr>
      </w:pPr>
      <w:r>
        <w:rPr>
          <w:rFonts w:ascii="Calibri" w:hAnsi="Calibri"/>
          <w:b/>
          <w:i w:val="0"/>
          <w:caps/>
          <w:color w:val="E8402C"/>
          <w:sz w:val="23"/>
        </w:rPr>
        <w:t>Content Creation</w:t>
      </w:r>
    </w:p>
    <w:p>
      <w:pPr>
        <w:tabs>
          <w:tab w:pos="10368" w:val="right"/>
        </w:tabs>
        <w:spacing w:before="80" w:after="40"/>
      </w:pPr>
      <w:r>
        <w:rPr>
          <w:rFonts w:ascii="Calibri" w:hAnsi="Calibri"/>
          <w:b/>
          <w:i w:val="0"/>
          <w:caps w:val="0"/>
          <w:color w:val="0E0E10"/>
          <w:sz w:val="21"/>
        </w:rPr>
        <w:t>YouTube Channel — @BillionaireHustler</w:t>
      </w:r>
      <w:r>
        <w:rPr>
          <w:rFonts w:ascii="Calibri" w:hAnsi="Calibri"/>
          <w:b w:val="0"/>
          <w:i w:val="0"/>
          <w:caps w:val="0"/>
          <w:color w:val="0E0E10"/>
          <w:sz w:val="21"/>
        </w:rPr>
        <w:tab/>
      </w:r>
      <w:r>
        <w:rPr>
          <w:rFonts w:ascii="Calibri" w:hAnsi="Calibri"/>
          <w:b w:val="0"/>
          <w:i/>
          <w:caps w:val="0"/>
          <w:color w:val="0E0E10"/>
          <w:sz w:val="20"/>
        </w:rPr>
        <w:t>October 2023 – Present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aps w:val="0"/>
          <w:color w:val="0E0E10"/>
          <w:sz w:val="21"/>
        </w:rPr>
        <w:t>Grew channel to 700K+ lifetime views and 800+ subscribers with zero ad spend.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aps w:val="0"/>
          <w:color w:val="0E0E10"/>
          <w:sz w:val="21"/>
        </w:rPr>
        <w:t>Achieved a 91%+ like ratio and a top-performing clip at 42K views.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aps w:val="0"/>
          <w:color w:val="0E0E10"/>
          <w:sz w:val="21"/>
        </w:rPr>
        <w:t>Applied direct-response and retention principles learned from running the channel to client ad strategy work.</w:t>
      </w:r>
    </w:p>
    <w:p>
      <w:pPr>
        <w:keepNext/>
        <w:spacing w:before="240" w:after="60"/>
        <w:pBdr>
          <w:bottom w:val="single" w:sz="6" w:space="2" w:color="E8402C"/>
        </w:pBdr>
      </w:pPr>
      <w:r>
        <w:rPr>
          <w:rFonts w:ascii="Calibri" w:hAnsi="Calibri"/>
          <w:b/>
          <w:i w:val="0"/>
          <w:caps/>
          <w:color w:val="E8402C"/>
          <w:sz w:val="23"/>
        </w:rPr>
        <w:t>Education / Training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aps w:val="0"/>
          <w:color w:val="0E0E10"/>
          <w:sz w:val="21"/>
        </w:rPr>
        <w:t>Copy Millions Blueprint — direct-response copywriting and creative strategy coaching program (current)</w:t>
      </w:r>
    </w:p>
    <w:p>
      <w:pPr>
        <w:pStyle w:val="ListBullet"/>
        <w:spacing w:after="40" w:line="252" w:lineRule="auto"/>
        <w:ind w:left="288"/>
      </w:pPr>
      <w:r>
        <w:rPr>
          <w:rFonts w:ascii="Calibri" w:hAnsi="Calibri"/>
          <w:b w:val="0"/>
          <w:i w:val="0"/>
          <w:caps w:val="0"/>
          <w:color w:val="0E0E10"/>
          <w:sz w:val="21"/>
        </w:rPr>
        <w:t>Eagle Scout</w:t>
      </w:r>
    </w:p>
    <w:p>
      <w:pPr>
        <w:keepNext/>
        <w:spacing w:before="240" w:after="60"/>
        <w:pBdr>
          <w:bottom w:val="single" w:sz="6" w:space="2" w:color="E8402C"/>
        </w:pBdr>
      </w:pPr>
      <w:r>
        <w:rPr>
          <w:rFonts w:ascii="Calibri" w:hAnsi="Calibri"/>
          <w:b/>
          <w:i w:val="0"/>
          <w:caps/>
          <w:color w:val="E8402C"/>
          <w:sz w:val="23"/>
        </w:rPr>
        <w:t>Skills</w:t>
      </w:r>
    </w:p>
    <w:p>
      <w:pPr>
        <w:spacing w:after="40"/>
        <w:ind w:left="288"/>
      </w:pPr>
      <w:r>
        <w:rPr>
          <w:rFonts w:ascii="Calibri" w:hAnsi="Calibri"/>
          <w:b/>
          <w:i w:val="0"/>
          <w:caps w:val="0"/>
          <w:color w:val="0E0E10"/>
          <w:sz w:val="21"/>
        </w:rPr>
        <w:t xml:space="preserve">1.  </w:t>
      </w:r>
      <w:r>
        <w:rPr>
          <w:rFonts w:ascii="Calibri" w:hAnsi="Calibri"/>
          <w:b w:val="0"/>
          <w:i w:val="0"/>
          <w:caps w:val="0"/>
          <w:color w:val="0E0E10"/>
          <w:sz w:val="21"/>
        </w:rPr>
        <w:t>Meta ad hook &amp; script writing</w:t>
      </w:r>
    </w:p>
    <w:p>
      <w:pPr>
        <w:spacing w:after="40"/>
        <w:ind w:left="288"/>
      </w:pPr>
      <w:r>
        <w:rPr>
          <w:rFonts w:ascii="Calibri" w:hAnsi="Calibri"/>
          <w:b/>
          <w:i w:val="0"/>
          <w:caps w:val="0"/>
          <w:color w:val="0E0E10"/>
          <w:sz w:val="21"/>
        </w:rPr>
        <w:t xml:space="preserve">2.  </w:t>
      </w:r>
      <w:r>
        <w:rPr>
          <w:rFonts w:ascii="Calibri" w:hAnsi="Calibri"/>
          <w:b w:val="0"/>
          <w:i w:val="0"/>
          <w:caps w:val="0"/>
          <w:color w:val="0E0E10"/>
          <w:sz w:val="21"/>
        </w:rPr>
        <w:t>Direct-response copywriting</w:t>
      </w:r>
    </w:p>
    <w:p>
      <w:pPr>
        <w:spacing w:after="40"/>
        <w:ind w:left="288"/>
      </w:pPr>
      <w:r>
        <w:rPr>
          <w:rFonts w:ascii="Calibri" w:hAnsi="Calibri"/>
          <w:b/>
          <w:i w:val="0"/>
          <w:caps w:val="0"/>
          <w:color w:val="0E0E10"/>
          <w:sz w:val="21"/>
        </w:rPr>
        <w:t xml:space="preserve">3.  </w:t>
      </w:r>
      <w:r>
        <w:rPr>
          <w:rFonts w:ascii="Calibri" w:hAnsi="Calibri"/>
          <w:b w:val="0"/>
          <w:i w:val="0"/>
          <w:caps w:val="0"/>
          <w:color w:val="0E0E10"/>
          <w:sz w:val="21"/>
        </w:rPr>
        <w:t>AI-video and static ad production</w:t>
      </w:r>
    </w:p>
    <w:p>
      <w:pPr>
        <w:spacing w:after="40"/>
        <w:ind w:left="288"/>
      </w:pPr>
      <w:r>
        <w:rPr>
          <w:rFonts w:ascii="Calibri" w:hAnsi="Calibri"/>
          <w:b/>
          <w:i w:val="0"/>
          <w:caps w:val="0"/>
          <w:color w:val="0E0E10"/>
          <w:sz w:val="21"/>
        </w:rPr>
        <w:t xml:space="preserve">4.  </w:t>
      </w:r>
      <w:r>
        <w:rPr>
          <w:rFonts w:ascii="Calibri" w:hAnsi="Calibri"/>
          <w:b w:val="0"/>
          <w:i w:val="0"/>
          <w:caps w:val="0"/>
          <w:color w:val="0E0E10"/>
          <w:sz w:val="21"/>
        </w:rPr>
        <w:t>Audience/VOC research</w:t>
      </w:r>
    </w:p>
    <w:p>
      <w:pPr>
        <w:spacing w:after="40"/>
        <w:ind w:left="288"/>
      </w:pPr>
      <w:r>
        <w:rPr>
          <w:rFonts w:ascii="Calibri" w:hAnsi="Calibri"/>
          <w:b/>
          <w:i w:val="0"/>
          <w:caps w:val="0"/>
          <w:color w:val="0E0E10"/>
          <w:sz w:val="21"/>
        </w:rPr>
        <w:t xml:space="preserve">5.  </w:t>
      </w:r>
      <w:r>
        <w:rPr>
          <w:rFonts w:ascii="Calibri" w:hAnsi="Calibri"/>
          <w:b w:val="0"/>
          <w:i w:val="0"/>
          <w:caps w:val="0"/>
          <w:color w:val="0E0E10"/>
          <w:sz w:val="21"/>
        </w:rPr>
        <w:t>YouTube content strategy &amp; audience retention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Calibri" w:hAnsi="Calibri" w:eastAsia="Calibri"/>
      <w:color w:val="0E0E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