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C33103">
      <w:pPr>
        <w:pStyle w:val="2"/>
      </w:pPr>
      <w:r>
        <w:t>全局设计规范建议（先立规矩，再改页面）</w:t>
      </w:r>
    </w:p>
    <w:p w14:paraId="28C3C0A2">
      <w:pPr>
        <w:spacing w:after="160"/>
      </w:pPr>
      <w:r>
        <w:rPr>
          <w:b w:val="0"/>
          <w:sz w:val="21"/>
        </w:rPr>
        <w:t>以下 token 建议以「参考成熟产品（飞书 / 豆包 / 腾讯文档）＋ 内部已有法思系规范」为基线，前端以组件形式落地，全站引用，禁止页面内私自定义。</w:t>
      </w:r>
    </w:p>
    <w:p w14:paraId="38068FBA">
      <w:pPr>
        <w:pStyle w:val="3"/>
      </w:pPr>
      <w:r>
        <w:rPr>
          <w:rFonts w:hint="eastAsia"/>
          <w:lang w:val="en-US" w:eastAsia="zh-CN"/>
        </w:rPr>
        <w:t>1</w:t>
      </w:r>
      <w:r>
        <w:t>.1 字号与字重阶梯（P0）</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2"/>
        <w:gridCol w:w="1898"/>
        <w:gridCol w:w="1865"/>
        <w:gridCol w:w="3137"/>
      </w:tblGrid>
      <w:tr w14:paraId="633B0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2563EB"/>
          </w:tcPr>
          <w:p w14:paraId="4A55DCF4">
            <w:r>
              <w:rPr>
                <w:b/>
                <w:color w:val="FFFFFF"/>
                <w:sz w:val="19"/>
              </w:rPr>
              <w:t>层级</w:t>
            </w:r>
          </w:p>
        </w:tc>
        <w:tc>
          <w:tcPr>
            <w:tcW w:w="1928" w:type="dxa"/>
            <w:shd w:val="clear" w:color="auto" w:fill="2563EB"/>
          </w:tcPr>
          <w:p w14:paraId="129787BC">
            <w:r>
              <w:rPr>
                <w:b/>
                <w:color w:val="FFFFFF"/>
                <w:sz w:val="19"/>
              </w:rPr>
              <w:t>字号/字重</w:t>
            </w:r>
          </w:p>
        </w:tc>
        <w:tc>
          <w:tcPr>
            <w:tcW w:w="1928" w:type="dxa"/>
            <w:shd w:val="clear" w:color="auto" w:fill="2563EB"/>
          </w:tcPr>
          <w:p w14:paraId="6169F2BA">
            <w:r>
              <w:rPr>
                <w:b/>
                <w:color w:val="FFFFFF"/>
                <w:sz w:val="19"/>
              </w:rPr>
              <w:t>颜色</w:t>
            </w:r>
          </w:p>
        </w:tc>
        <w:tc>
          <w:tcPr>
            <w:tcW w:w="3288" w:type="dxa"/>
            <w:shd w:val="clear" w:color="auto" w:fill="2563EB"/>
          </w:tcPr>
          <w:p w14:paraId="39670220">
            <w:r>
              <w:rPr>
                <w:b/>
                <w:color w:val="FFFFFF"/>
                <w:sz w:val="19"/>
              </w:rPr>
              <w:t>用于</w:t>
            </w:r>
          </w:p>
        </w:tc>
      </w:tr>
      <w:tr w14:paraId="5288B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D325A54">
            <w:r>
              <w:rPr>
                <w:sz w:val="19"/>
              </w:rPr>
              <w:t>页面主标题</w:t>
            </w:r>
          </w:p>
        </w:tc>
        <w:tc>
          <w:tcPr>
            <w:tcW w:w="1928" w:type="dxa"/>
          </w:tcPr>
          <w:p w14:paraId="19DA748C">
            <w:r>
              <w:rPr>
                <w:sz w:val="19"/>
              </w:rPr>
              <w:t>20px · Bold</w:t>
            </w:r>
          </w:p>
        </w:tc>
        <w:tc>
          <w:tcPr>
            <w:tcW w:w="1928" w:type="dxa"/>
          </w:tcPr>
          <w:p w14:paraId="3276EF2E">
            <w:r>
              <w:rPr>
                <w:sz w:val="19"/>
              </w:rPr>
              <w:t>深色 #1F2329</w:t>
            </w:r>
          </w:p>
        </w:tc>
        <w:tc>
          <w:tcPr>
            <w:tcW w:w="3288" w:type="dxa"/>
          </w:tcPr>
          <w:p w14:paraId="53062EC4">
            <w:r>
              <w:rPr>
                <w:sz w:val="19"/>
              </w:rPr>
              <w:t>案件名称、页面标题（配合返回按钮）</w:t>
            </w:r>
          </w:p>
        </w:tc>
      </w:tr>
      <w:tr w14:paraId="11A83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5D3B6398">
            <w:r>
              <w:rPr>
                <w:sz w:val="19"/>
              </w:rPr>
              <w:t>区块/卡片标题</w:t>
            </w:r>
          </w:p>
        </w:tc>
        <w:tc>
          <w:tcPr>
            <w:tcW w:w="1928" w:type="dxa"/>
          </w:tcPr>
          <w:p w14:paraId="4FC4D490">
            <w:r>
              <w:rPr>
                <w:sz w:val="19"/>
              </w:rPr>
              <w:t>16px · Semibold</w:t>
            </w:r>
          </w:p>
        </w:tc>
        <w:tc>
          <w:tcPr>
            <w:tcW w:w="1928" w:type="dxa"/>
          </w:tcPr>
          <w:p w14:paraId="03175E85">
            <w:r>
              <w:rPr>
                <w:sz w:val="19"/>
              </w:rPr>
              <w:t>深色 #1F2329</w:t>
            </w:r>
          </w:p>
        </w:tc>
        <w:tc>
          <w:tcPr>
            <w:tcW w:w="3288" w:type="dxa"/>
          </w:tcPr>
          <w:p w14:paraId="3F3A949D">
            <w:r>
              <w:rPr>
                <w:sz w:val="19"/>
              </w:rPr>
              <w:t>卡片标题、抽屉标题、步骤标题</w:t>
            </w:r>
          </w:p>
        </w:tc>
      </w:tr>
      <w:tr w14:paraId="01D1C3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2CEFCDE0">
            <w:r>
              <w:rPr>
                <w:sz w:val="19"/>
              </w:rPr>
              <w:t>正文</w:t>
            </w:r>
          </w:p>
        </w:tc>
        <w:tc>
          <w:tcPr>
            <w:tcW w:w="1928" w:type="dxa"/>
          </w:tcPr>
          <w:p w14:paraId="162B032F">
            <w:r>
              <w:rPr>
                <w:sz w:val="19"/>
              </w:rPr>
              <w:t>14px · Regular</w:t>
            </w:r>
          </w:p>
        </w:tc>
        <w:tc>
          <w:tcPr>
            <w:tcW w:w="1928" w:type="dxa"/>
          </w:tcPr>
          <w:p w14:paraId="02F403B7">
            <w:r>
              <w:rPr>
                <w:sz w:val="19"/>
              </w:rPr>
              <w:t>#1F2329</w:t>
            </w:r>
          </w:p>
        </w:tc>
        <w:tc>
          <w:tcPr>
            <w:tcW w:w="3288" w:type="dxa"/>
          </w:tcPr>
          <w:p w14:paraId="08C4C10D">
            <w:r>
              <w:rPr>
                <w:sz w:val="19"/>
              </w:rPr>
              <w:t>列表内容、文档正文、表单值</w:t>
            </w:r>
          </w:p>
        </w:tc>
      </w:tr>
      <w:tr w14:paraId="47C6A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006782E5">
            <w:r>
              <w:rPr>
                <w:sz w:val="19"/>
              </w:rPr>
              <w:t>辅助信息</w:t>
            </w:r>
          </w:p>
        </w:tc>
        <w:tc>
          <w:tcPr>
            <w:tcW w:w="1928" w:type="dxa"/>
          </w:tcPr>
          <w:p w14:paraId="0FBCCE92">
            <w:r>
              <w:rPr>
                <w:sz w:val="19"/>
              </w:rPr>
              <w:t>12px · Regular</w:t>
            </w:r>
          </w:p>
        </w:tc>
        <w:tc>
          <w:tcPr>
            <w:tcW w:w="1928" w:type="dxa"/>
          </w:tcPr>
          <w:p w14:paraId="784E5B06">
            <w:r>
              <w:rPr>
                <w:sz w:val="19"/>
              </w:rPr>
              <w:t>浅灰 #86909C</w:t>
            </w:r>
          </w:p>
        </w:tc>
        <w:tc>
          <w:tcPr>
            <w:tcW w:w="3288" w:type="dxa"/>
          </w:tcPr>
          <w:p w14:paraId="0E6EE4B5">
            <w:r>
              <w:rPr>
                <w:sz w:val="19"/>
              </w:rPr>
              <w:t>时间戳、「共 N 条」、描述、占位符</w:t>
            </w:r>
          </w:p>
        </w:tc>
      </w:tr>
      <w:tr w14:paraId="27B71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tcPr>
          <w:p w14:paraId="673BBAED">
            <w:r>
              <w:rPr>
                <w:sz w:val="19"/>
              </w:rPr>
              <w:t>最小字号</w:t>
            </w:r>
          </w:p>
        </w:tc>
        <w:tc>
          <w:tcPr>
            <w:tcW w:w="1928" w:type="dxa"/>
          </w:tcPr>
          <w:p w14:paraId="074B73E7">
            <w:r>
              <w:rPr>
                <w:sz w:val="19"/>
              </w:rPr>
              <w:t>≥ 12px</w:t>
            </w:r>
          </w:p>
        </w:tc>
        <w:tc>
          <w:tcPr>
            <w:tcW w:w="1928" w:type="dxa"/>
          </w:tcPr>
          <w:p w14:paraId="43421E59">
            <w:r>
              <w:rPr>
                <w:sz w:val="19"/>
              </w:rPr>
              <w:t>—</w:t>
            </w:r>
          </w:p>
        </w:tc>
        <w:tc>
          <w:tcPr>
            <w:tcW w:w="3288" w:type="dxa"/>
          </w:tcPr>
          <w:p w14:paraId="0E8334A1">
            <w:r>
              <w:rPr>
                <w:sz w:val="19"/>
              </w:rPr>
              <w:t>任何场景不得低于 12px；按钮文字 ≥ 14px</w:t>
            </w:r>
          </w:p>
        </w:tc>
      </w:tr>
    </w:tbl>
    <w:p w14:paraId="3DC607EC">
      <w:pPr>
        <w:spacing w:after="120"/>
      </w:pPr>
    </w:p>
    <w:p w14:paraId="1C37C3CF">
      <w:pPr>
        <w:spacing w:after="80"/>
      </w:pPr>
      <w:r>
        <w:rPr>
          <w:b w:val="0"/>
          <w:sz w:val="20"/>
        </w:rPr>
        <w:t>要点：① 标题靠「加大＋加重」自然分层，不靠加横线；② 按钮文字从 12px 提到 14px，主按钮同步加大点击区；③ 全站一次换，不允许某页先改。</w:t>
      </w:r>
    </w:p>
    <w:p w14:paraId="09BA5963">
      <w:pPr>
        <w:pStyle w:val="3"/>
      </w:pPr>
      <w:r>
        <w:rPr>
          <w:rFonts w:hint="eastAsia"/>
          <w:lang w:val="en-US" w:eastAsia="zh-CN"/>
        </w:rPr>
        <w:t>1</w:t>
      </w:r>
      <w:r>
        <w:t>.2 颜色与状态语义（P1）</w:t>
      </w: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3"/>
        <w:gridCol w:w="2859"/>
        <w:gridCol w:w="3700"/>
      </w:tblGrid>
      <w:tr w14:paraId="30226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shd w:val="clear" w:color="auto" w:fill="2563EB"/>
          </w:tcPr>
          <w:p w14:paraId="3EFF9A68">
            <w:r>
              <w:rPr>
                <w:b/>
                <w:color w:val="FFFFFF"/>
                <w:sz w:val="19"/>
              </w:rPr>
              <w:t>语义</w:t>
            </w:r>
          </w:p>
        </w:tc>
        <w:tc>
          <w:tcPr>
            <w:tcW w:w="2948" w:type="dxa"/>
            <w:shd w:val="clear" w:color="auto" w:fill="2563EB"/>
          </w:tcPr>
          <w:p w14:paraId="19A729AB">
            <w:r>
              <w:rPr>
                <w:b/>
                <w:color w:val="FFFFFF"/>
                <w:sz w:val="19"/>
              </w:rPr>
              <w:t>建议色</w:t>
            </w:r>
          </w:p>
        </w:tc>
        <w:tc>
          <w:tcPr>
            <w:tcW w:w="3855" w:type="dxa"/>
            <w:shd w:val="clear" w:color="auto" w:fill="2563EB"/>
          </w:tcPr>
          <w:p w14:paraId="638F569F">
            <w:r>
              <w:rPr>
                <w:b/>
                <w:color w:val="FFFFFF"/>
                <w:sz w:val="19"/>
              </w:rPr>
              <w:t>用在哪</w:t>
            </w:r>
          </w:p>
        </w:tc>
      </w:tr>
      <w:tr w14:paraId="60689D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FC98F2C">
            <w:r>
              <w:rPr>
                <w:sz w:val="19"/>
              </w:rPr>
              <w:t>品牌/可操作</w:t>
            </w:r>
          </w:p>
        </w:tc>
        <w:tc>
          <w:tcPr>
            <w:tcW w:w="2948" w:type="dxa"/>
          </w:tcPr>
          <w:p w14:paraId="43259316">
            <w:r>
              <w:rPr>
                <w:sz w:val="19"/>
              </w:rPr>
              <w:t>蓝 #2563EB</w:t>
            </w:r>
          </w:p>
        </w:tc>
        <w:tc>
          <w:tcPr>
            <w:tcW w:w="3855" w:type="dxa"/>
          </w:tcPr>
          <w:p w14:paraId="08B09173">
            <w:r>
              <w:rPr>
                <w:sz w:val="19"/>
              </w:rPr>
              <w:t>主按钮、链接、选中态、AI 相关标识</w:t>
            </w:r>
          </w:p>
        </w:tc>
      </w:tr>
      <w:tr w14:paraId="16C3C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71C6B2E">
            <w:r>
              <w:rPr>
                <w:sz w:val="19"/>
              </w:rPr>
              <w:t>成功/完成</w:t>
            </w:r>
          </w:p>
        </w:tc>
        <w:tc>
          <w:tcPr>
            <w:tcW w:w="2948" w:type="dxa"/>
          </w:tcPr>
          <w:p w14:paraId="1543FDEB">
            <w:r>
              <w:rPr>
                <w:sz w:val="19"/>
              </w:rPr>
              <w:t>绿 #16A34A（浅底 #ECFDF5）</w:t>
            </w:r>
          </w:p>
        </w:tc>
        <w:tc>
          <w:tcPr>
            <w:tcW w:w="3855" w:type="dxa"/>
          </w:tcPr>
          <w:p w14:paraId="5B6157D5">
            <w:r>
              <w:rPr>
                <w:sz w:val="19"/>
              </w:rPr>
              <w:t>已提取、已解析、现行有效</w:t>
            </w:r>
          </w:p>
        </w:tc>
      </w:tr>
      <w:tr w14:paraId="71536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58724378">
            <w:r>
              <w:rPr>
                <w:sz w:val="19"/>
              </w:rPr>
              <w:t>进行中</w:t>
            </w:r>
          </w:p>
        </w:tc>
        <w:tc>
          <w:tcPr>
            <w:tcW w:w="2948" w:type="dxa"/>
          </w:tcPr>
          <w:p w14:paraId="19CF8852">
            <w:r>
              <w:rPr>
                <w:sz w:val="19"/>
              </w:rPr>
              <w:t>蓝（浅底 #EFF6FF）＋动效</w:t>
            </w:r>
          </w:p>
        </w:tc>
        <w:tc>
          <w:tcPr>
            <w:tcW w:w="3855" w:type="dxa"/>
          </w:tcPr>
          <w:p w14:paraId="235D5D0D">
            <w:r>
              <w:rPr>
                <w:sz w:val="19"/>
              </w:rPr>
              <w:t>解析中、生成中、精修中</w:t>
            </w:r>
          </w:p>
        </w:tc>
      </w:tr>
      <w:tr w14:paraId="3467E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6098DB2C">
            <w:r>
              <w:rPr>
                <w:sz w:val="19"/>
              </w:rPr>
              <w:t>警示/待确认</w:t>
            </w:r>
          </w:p>
        </w:tc>
        <w:tc>
          <w:tcPr>
            <w:tcW w:w="2948" w:type="dxa"/>
          </w:tcPr>
          <w:p w14:paraId="4C81D3C5">
            <w:r>
              <w:rPr>
                <w:sz w:val="19"/>
              </w:rPr>
              <w:t>橙 #D97706（浅底 #FFFBEB）</w:t>
            </w:r>
          </w:p>
        </w:tc>
        <w:tc>
          <w:tcPr>
            <w:tcW w:w="3855" w:type="dxa"/>
          </w:tcPr>
          <w:p w14:paraId="43989EFC">
            <w:r>
              <w:rPr>
                <w:sz w:val="19"/>
              </w:rPr>
              <w:t>待解析、有争议、待确认</w:t>
            </w:r>
          </w:p>
        </w:tc>
      </w:tr>
      <w:tr w14:paraId="5555D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06D3FF79">
            <w:r>
              <w:rPr>
                <w:sz w:val="19"/>
              </w:rPr>
              <w:t>错误/异常</w:t>
            </w:r>
          </w:p>
        </w:tc>
        <w:tc>
          <w:tcPr>
            <w:tcW w:w="2948" w:type="dxa"/>
          </w:tcPr>
          <w:p w14:paraId="2835DA0C">
            <w:r>
              <w:rPr>
                <w:sz w:val="19"/>
              </w:rPr>
              <w:t>红 #DC2626（浅底 #FEF2F2）</w:t>
            </w:r>
          </w:p>
        </w:tc>
        <w:tc>
          <w:tcPr>
            <w:tcW w:w="3855" w:type="dxa"/>
          </w:tcPr>
          <w:p w14:paraId="7B143641">
            <w:r>
              <w:rPr>
                <w:sz w:val="19"/>
              </w:rPr>
              <w:t>解析异常、生成失败</w:t>
            </w:r>
          </w:p>
        </w:tc>
      </w:tr>
      <w:tr w14:paraId="55EE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41" w:type="dxa"/>
          </w:tcPr>
          <w:p w14:paraId="3A0AE54F">
            <w:r>
              <w:rPr>
                <w:sz w:val="19"/>
              </w:rPr>
              <w:t>中性禁用</w:t>
            </w:r>
          </w:p>
        </w:tc>
        <w:tc>
          <w:tcPr>
            <w:tcW w:w="2948" w:type="dxa"/>
          </w:tcPr>
          <w:p w14:paraId="21D0C8C9">
            <w:r>
              <w:rPr>
                <w:sz w:val="19"/>
              </w:rPr>
              <w:t>灰 #86909C（浅底 #F5F5F5）</w:t>
            </w:r>
          </w:p>
        </w:tc>
        <w:tc>
          <w:tcPr>
            <w:tcW w:w="3855" w:type="dxa"/>
          </w:tcPr>
          <w:p w14:paraId="47159A77">
            <w:r>
              <w:rPr>
                <w:sz w:val="19"/>
              </w:rPr>
              <w:t>归档、停用</w:t>
            </w:r>
          </w:p>
        </w:tc>
      </w:tr>
    </w:tbl>
    <w:p w14:paraId="595AD55E">
      <w:pPr>
        <w:spacing w:after="120"/>
      </w:pPr>
    </w:p>
    <w:p w14:paraId="493FC550">
      <w:pPr>
        <w:spacing w:after="80"/>
      </w:pPr>
      <w:r>
        <w:rPr>
          <w:b w:val="0"/>
          <w:sz w:val="20"/>
        </w:rPr>
        <w:t>要点：状态体系必须对齐 PRD 里真实存在的状态集（解析中 / 解析异常 / 已解析 / 待解析；文书侧为生成中 / 可编辑 / 可预览）。「可编辑 / 可预览」是文书态、不是材料态，两类徽标不能混用一套样式，避免法官误读。</w:t>
      </w:r>
    </w:p>
    <w:p w14:paraId="70822C3C">
      <w:pPr>
        <w:pStyle w:val="3"/>
      </w:pPr>
      <w:r>
        <w:rPr>
          <w:rFonts w:hint="eastAsia"/>
          <w:lang w:val="en-US" w:eastAsia="zh-CN"/>
        </w:rPr>
        <w:t>1</w:t>
      </w:r>
      <w:r>
        <w:t>.3 间距与分块（P1）</w:t>
      </w:r>
    </w:p>
    <w:p w14:paraId="18B7C6B1">
      <w:pPr>
        <w:pStyle w:val="4"/>
        <w:spacing w:after="60"/>
      </w:pPr>
      <w:r>
        <w:rPr>
          <w:b/>
        </w:rPr>
        <w:t>8pt 网格：</w:t>
      </w:r>
      <w:r>
        <w:t>所有间距取 8 的倍数；卡片内边距 16px 起。</w:t>
      </w:r>
    </w:p>
    <w:p w14:paraId="30D98D7A">
      <w:pPr>
        <w:pStyle w:val="4"/>
        <w:spacing w:after="60"/>
      </w:pPr>
      <w:r>
        <w:rPr>
          <w:b/>
        </w:rPr>
        <w:t>色块分区：</w:t>
      </w:r>
      <w:r>
        <w:t>多步骤、多区块的内容用浅灰/浅蓝底色块分区（如生成三步：每步一个浅底色块＋步骤号），替代现在的纯线条堆叠——这是会上「一眼看出有三个步骤」诉求的直接落地。</w:t>
      </w:r>
    </w:p>
    <w:p w14:paraId="6861BBF3">
      <w:pPr>
        <w:pStyle w:val="4"/>
        <w:spacing w:after="60"/>
      </w:pPr>
      <w:r>
        <w:rPr>
          <w:b/>
        </w:rPr>
        <w:t>减线条：</w:t>
      </w:r>
      <w:r>
        <w:t>能用间距与底色解决的，不画框线；列表行分隔线降为 1px 浅灰，去掉双层边框嵌套。</w:t>
      </w:r>
    </w:p>
    <w:p w14:paraId="4BD51A79">
      <w:pPr>
        <w:pStyle w:val="3"/>
      </w:pPr>
      <w:r>
        <w:rPr>
          <w:rFonts w:hint="eastAsia"/>
          <w:lang w:val="en-US" w:eastAsia="zh-CN"/>
        </w:rPr>
        <w:t>1</w:t>
      </w:r>
      <w:r>
        <w:t>.4 交互反馈三件套（P1）</w:t>
      </w:r>
    </w:p>
    <w:p w14:paraId="46485073">
      <w:pPr>
        <w:pStyle w:val="4"/>
        <w:spacing w:after="60"/>
      </w:pPr>
      <w:r>
        <w:rPr>
          <w:b/>
        </w:rPr>
        <w:t>hover：</w:t>
      </w:r>
      <w:r>
        <w:t>所有可点击元素 hover 变底色（如 hover:bg-accent），鼠标变 pointer。</w:t>
      </w:r>
    </w:p>
    <w:p w14:paraId="3A10F237">
      <w:pPr>
        <w:pStyle w:val="4"/>
        <w:spacing w:after="60"/>
      </w:pPr>
      <w:r>
        <w:rPr>
          <w:b/>
        </w:rPr>
        <w:t>选中：</w:t>
      </w:r>
      <w:r>
        <w:t>选中态加深底色＋主色文字＋左侧或角标强化，明度差至少两档。</w:t>
      </w:r>
    </w:p>
    <w:p w14:paraId="2A85AFE8">
      <w:pPr>
        <w:pStyle w:val="4"/>
        <w:spacing w:after="60"/>
      </w:pPr>
      <w:r>
        <w:rPr>
          <w:b/>
        </w:rPr>
        <w:t>语义可见：</w:t>
      </w:r>
      <w:r>
        <w:t>icon-only 按钮一律补文字标签或常显 tooltip；核心入口（精修、要件、法条、文书）建议直接图标＋文字。</w:t>
      </w:r>
    </w:p>
    <w:p w14:paraId="6F8F6CC9">
      <w:pPr>
        <w:numPr>
          <w:numId w:val="0"/>
        </w:numPr>
        <w:rPr>
          <w:rFonts w:hint="eastAsia"/>
          <w:lang w:val="en-US" w:eastAsia="zh-CN"/>
        </w:rPr>
      </w:pPr>
    </w:p>
    <w:p w14:paraId="10B8C7F4">
      <w:pPr>
        <w:numPr>
          <w:numId w:val="0"/>
        </w:numPr>
        <w:rPr>
          <w:rFonts w:hint="eastAsia"/>
          <w:b/>
          <w:bCs/>
          <w:sz w:val="28"/>
          <w:szCs w:val="36"/>
          <w:lang w:val="en-US" w:eastAsia="zh-CN"/>
        </w:rPr>
      </w:pPr>
      <w:r>
        <w:rPr>
          <w:rFonts w:hint="eastAsia"/>
          <w:b/>
          <w:bCs/>
          <w:sz w:val="28"/>
          <w:szCs w:val="36"/>
          <w:lang w:val="en-US" w:eastAsia="zh-CN"/>
        </w:rPr>
        <w:t>各页面具体问题点：</w:t>
      </w:r>
    </w:p>
    <w:p w14:paraId="16D8B4AB">
      <w:pPr>
        <w:pStyle w:val="3"/>
        <w:numPr>
          <w:ilvl w:val="0"/>
          <w:numId w:val="2"/>
        </w:numPr>
        <w:ind w:left="425" w:leftChars="0" w:hanging="425" w:firstLineChars="0"/>
      </w:pPr>
      <w:r>
        <w:t>对话首页（AI 问答）</w:t>
      </w:r>
    </w:p>
    <w:p w14:paraId="06FC9EF5">
      <w:pPr>
        <w:spacing w:after="80"/>
        <w:rPr>
          <w:rFonts w:hint="eastAsia"/>
          <w:lang w:eastAsia="zh-CN"/>
        </w:rPr>
      </w:pPr>
      <w:r>
        <w:t>推荐工作流卡片：内容只有图标＋名字，卡片高度大、信息少；建议卡片加一行「做什么」的说明文字，既填充空间又降低理解门槛</w:t>
      </w:r>
      <w:r>
        <w:rPr>
          <w:rFonts w:hint="eastAsia"/>
          <w:lang w:eastAsia="zh-CN"/>
        </w:rPr>
        <w:t>；</w:t>
      </w:r>
    </w:p>
    <w:p w14:paraId="31714A1D">
      <w:pPr>
        <w:spacing w:after="80"/>
        <w:rPr>
          <w:rFonts w:hint="eastAsia"/>
          <w:lang w:eastAsia="zh-CN"/>
        </w:rPr>
      </w:pPr>
      <w:r>
        <w:t>顶部任务类型切换（全部/通用任务/办案任务）：选中态太弱</w:t>
      </w:r>
      <w:r>
        <w:rPr>
          <w:rFonts w:hint="eastAsia"/>
          <w:lang w:eastAsia="zh-CN"/>
        </w:rPr>
        <w:t>。</w:t>
      </w:r>
    </w:p>
    <w:p w14:paraId="69A9B7E4">
      <w:pPr>
        <w:spacing w:after="80"/>
      </w:pPr>
      <w:r>
        <w:drawing>
          <wp:inline distT="0" distB="0" distL="114300" distR="114300">
            <wp:extent cx="5760720" cy="3420110"/>
            <wp:effectExtent l="0" t="0" r="508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tretch>
                      <a:fillRect/>
                    </a:stretch>
                  </pic:blipFill>
                  <pic:spPr>
                    <a:xfrm>
                      <a:off x="0" y="0"/>
                      <a:ext cx="5760720" cy="3420427"/>
                    </a:xfrm>
                    <a:prstGeom prst="rect">
                      <a:avLst/>
                    </a:prstGeom>
                  </pic:spPr>
                </pic:pic>
              </a:graphicData>
            </a:graphic>
          </wp:inline>
        </w:drawing>
      </w:r>
    </w:p>
    <w:p w14:paraId="30714FC6">
      <w:pPr>
        <w:spacing w:after="80"/>
      </w:pPr>
    </w:p>
    <w:p w14:paraId="6FD3BF80">
      <w:pPr>
        <w:pStyle w:val="3"/>
        <w:numPr>
          <w:ilvl w:val="0"/>
          <w:numId w:val="2"/>
        </w:numPr>
        <w:ind w:left="425" w:leftChars="0" w:hanging="425" w:firstLineChars="0"/>
      </w:pPr>
      <w:r>
        <w:t>案件列表</w:t>
      </w:r>
    </w:p>
    <w:p w14:paraId="5EC3D377">
      <w:pPr>
        <w:spacing w:after="40"/>
        <w:jc w:val="center"/>
      </w:pPr>
      <w:r>
        <w:drawing>
          <wp:inline distT="0" distB="0" distL="114300" distR="114300">
            <wp:extent cx="5760720" cy="3420110"/>
            <wp:effectExtent l="0" t="0" r="5080" b="889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5"/>
                    <a:stretch>
                      <a:fillRect/>
                    </a:stretch>
                  </pic:blipFill>
                  <pic:spPr>
                    <a:xfrm>
                      <a:off x="0" y="0"/>
                      <a:ext cx="5760720" cy="3420427"/>
                    </a:xfrm>
                    <a:prstGeom prst="rect">
                      <a:avLst/>
                    </a:prstGeom>
                  </pic:spPr>
                </pic:pic>
              </a:graphicData>
            </a:graphic>
          </wp:inline>
        </w:drawing>
      </w:r>
    </w:p>
    <w:p w14:paraId="5F6FCE6A">
      <w:pPr>
        <w:spacing w:after="160"/>
        <w:jc w:val="center"/>
      </w:pPr>
      <w:r>
        <w:rPr>
          <w:color w:val="86909C"/>
          <w:sz w:val="17"/>
        </w:rPr>
        <w:t>▲ 案件列表现状：右侧与行内大量留白，信息密度低</w:t>
      </w:r>
    </w:p>
    <w:p w14:paraId="5D91F45D">
      <w:pPr>
        <w:spacing w:after="80"/>
      </w:pPr>
      <w:r>
        <w:rPr>
          <w:b/>
          <w:color w:val="D97706"/>
          <w:sz w:val="20"/>
        </w:rPr>
        <w:t>【P1】</w:t>
      </w:r>
      <w:r>
        <w:t xml:space="preserve"> 表格观感平、无层次：案件名称是唯一一级信息却与辅助信息同权重。按 </w:t>
      </w:r>
      <w:r>
        <w:rPr>
          <w:rFonts w:hint="eastAsia"/>
          <w:lang w:val="en-US" w:eastAsia="zh-CN"/>
        </w:rPr>
        <w:t>1</w:t>
      </w:r>
      <w:r>
        <w:t>.1 调整：案名列 14–16px 加粗深色；文书数、材料数做次级；「N 份文书」从浅灰小徽标升级为可点击的蓝色链接样式（点击直达该案文书）。</w:t>
      </w:r>
    </w:p>
    <w:p w14:paraId="6E93335D">
      <w:pPr>
        <w:spacing w:after="80"/>
      </w:pPr>
      <w:r>
        <w:rPr>
          <w:b/>
          <w:color w:val="D97706"/>
          <w:sz w:val="20"/>
        </w:rPr>
        <w:t>【P1】</w:t>
      </w:r>
      <w:r>
        <w:t xml:space="preserve"> 材料数量列：现为「图标＋数字」，数字 261 与 4 视觉重量相同。升级为健康度展示：正常显示「261」，存在解析异常时「259/261」＋红色「解析异常」徽标（对齐 PRD 4.1.3 的口径）。</w:t>
      </w:r>
    </w:p>
    <w:p w14:paraId="55F84116">
      <w:pPr>
        <w:spacing w:after="80"/>
      </w:pPr>
      <w:r>
        <w:rPr>
          <w:b/>
          <w:color w:val="D97706"/>
          <w:sz w:val="20"/>
        </w:rPr>
        <w:t>【P1】</w:t>
      </w:r>
      <w:r>
        <w:t xml:space="preserve"> 信息解析列：绿色「已提取」胶囊保留，补充「解析中（蓝）／待解析（灰）／解析异常（红）」两种以上状态的视觉预案，目前全绿看不出体系。</w:t>
      </w:r>
    </w:p>
    <w:p w14:paraId="60A027B4">
      <w:pPr>
        <w:spacing w:after="80"/>
      </w:pPr>
      <w:r>
        <w:rPr>
          <w:b/>
          <w:color w:val="D97706"/>
          <w:sz w:val="20"/>
        </w:rPr>
        <w:t>【P1】</w:t>
      </w:r>
      <w:r>
        <w:t xml:space="preserve"> 操作列：「编辑」＋「⋮」，删除/归档等藏在 ⋮ 里但无文字预告；建议保留 ⋮ 但给行加 hover 底色提示可操作，危险操作进 ⋮ 后做红色＋二次确认。</w:t>
      </w:r>
    </w:p>
    <w:p w14:paraId="3036BE37">
      <w:pPr>
        <w:spacing w:after="80"/>
      </w:pPr>
      <w:r>
        <w:rPr>
          <w:b/>
          <w:color w:val="86909C"/>
          <w:sz w:val="20"/>
        </w:rPr>
        <w:t>【P2】</w:t>
      </w:r>
      <w:r>
        <w:t xml:space="preserve"> 工具栏：搜索、案由、筛选、列配置、刷新、新建案件一行排开无主次。建议「新建案件」保持唯一实心主按钮，其余降为图标＋文字的次级按钮并分组（筛选类一组、视图类一组）。</w:t>
      </w:r>
    </w:p>
    <w:p w14:paraId="3702022A">
      <w:pPr>
        <w:spacing w:after="80"/>
      </w:pPr>
    </w:p>
    <w:p w14:paraId="11E78341">
      <w:pPr>
        <w:pStyle w:val="3"/>
        <w:numPr>
          <w:ilvl w:val="0"/>
          <w:numId w:val="2"/>
        </w:numPr>
        <w:ind w:left="425" w:leftChars="0" w:hanging="425" w:firstLineChars="0"/>
      </w:pPr>
      <w:r>
        <w:t>案件详情 · 一步生成</w:t>
      </w:r>
    </w:p>
    <w:p w14:paraId="574282D5">
      <w:pPr>
        <w:spacing w:after="40"/>
        <w:jc w:val="center"/>
      </w:pPr>
      <w:r>
        <w:drawing>
          <wp:inline distT="0" distB="0" distL="114300" distR="114300">
            <wp:extent cx="5760720" cy="3420110"/>
            <wp:effectExtent l="0" t="0" r="5080" b="8890"/>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6"/>
                    <a:stretch>
                      <a:fillRect/>
                    </a:stretch>
                  </pic:blipFill>
                  <pic:spPr>
                    <a:xfrm>
                      <a:off x="0" y="0"/>
                      <a:ext cx="5760720" cy="3420427"/>
                    </a:xfrm>
                    <a:prstGeom prst="rect">
                      <a:avLst/>
                    </a:prstGeom>
                  </pic:spPr>
                </pic:pic>
              </a:graphicData>
            </a:graphic>
          </wp:inline>
        </w:drawing>
      </w:r>
    </w:p>
    <w:p w14:paraId="2A3D5A78">
      <w:pPr>
        <w:spacing w:after="160"/>
        <w:jc w:val="center"/>
      </w:pPr>
      <w:r>
        <w:rPr>
          <w:color w:val="86909C"/>
          <w:sz w:val="17"/>
        </w:rPr>
        <w:t>▲ 案件详情·一步生成现状：三步流程平铺，步骤边界靠猜</w:t>
      </w:r>
    </w:p>
    <w:p w14:paraId="4E3B790F">
      <w:pPr>
        <w:spacing w:after="80"/>
      </w:pPr>
      <w:r>
        <w:rPr>
          <w:b/>
          <w:color w:val="D97706"/>
          <w:sz w:val="20"/>
        </w:rPr>
        <w:t>【P1】</w:t>
      </w:r>
      <w:r>
        <w:t xml:space="preserve"> 三步流程无分块：选择文书 → 确认材料 → 补充要求，三步从上到下视觉完全连续，「第一眼分不清哪块属于第几步」。建议每步一个浅底色块＋大步骤号＋步骤标题（已完成打勾、当前高亮、未置灰），块间留白 24px；一眼扫过去「三步、各自填什么」即刻可辨。</w:t>
      </w:r>
    </w:p>
    <w:p w14:paraId="50753788">
      <w:pPr>
        <w:spacing w:after="80"/>
      </w:pPr>
      <w:r>
        <w:rPr>
          <w:b/>
          <w:color w:val="D97706"/>
          <w:sz w:val="20"/>
        </w:rPr>
        <w:t>【P1】</w:t>
      </w:r>
      <w:r>
        <w:t xml:space="preserve"> 「生成文书」主按钮与「还需: 选择材料」提示挤在页脚且小：主按钮加大（≥40px 高）、蓝色实心；未满足前置条件时按钮置灰但提示文字放大加粗并可直接点击跳到对应步骤。</w:t>
      </w:r>
    </w:p>
    <w:p w14:paraId="20BB3C1C">
      <w:pPr>
        <w:spacing w:after="80"/>
      </w:pPr>
      <w:r>
        <w:rPr>
          <w:b/>
          <w:color w:val="D97706"/>
          <w:sz w:val="20"/>
        </w:rPr>
        <w:t>【P1】</w:t>
      </w:r>
      <w:r>
        <w:t xml:space="preserve"> 快捷指令 chips（支持原告诉请、民终案件结构化笔记…）：文字 12px 太小、密集堆一行。建议加大字号与间距、两行流式排列，选中态明显；「我的」角标保留但样式统一。</w:t>
      </w:r>
    </w:p>
    <w:p w14:paraId="04D52734">
      <w:pPr>
        <w:pStyle w:val="3"/>
        <w:numPr>
          <w:ilvl w:val="0"/>
          <w:numId w:val="2"/>
        </w:numPr>
        <w:ind w:left="425" w:leftChars="0" w:hanging="425" w:firstLineChars="0"/>
      </w:pPr>
      <w:r>
        <w:t xml:space="preserve"> 案件详情 · 分步生成</w:t>
      </w:r>
    </w:p>
    <w:p w14:paraId="5C093CFC">
      <w:pPr>
        <w:spacing w:after="40"/>
        <w:jc w:val="center"/>
      </w:pPr>
      <w:r>
        <w:drawing>
          <wp:inline distT="0" distB="0" distL="114300" distR="114300">
            <wp:extent cx="5760720" cy="3420110"/>
            <wp:effectExtent l="0" t="0" r="5080" b="889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7"/>
                    <a:stretch>
                      <a:fillRect/>
                    </a:stretch>
                  </pic:blipFill>
                  <pic:spPr>
                    <a:xfrm>
                      <a:off x="0" y="0"/>
                      <a:ext cx="5760720" cy="3420427"/>
                    </a:xfrm>
                    <a:prstGeom prst="rect">
                      <a:avLst/>
                    </a:prstGeom>
                  </pic:spPr>
                </pic:pic>
              </a:graphicData>
            </a:graphic>
          </wp:inline>
        </w:drawing>
      </w:r>
    </w:p>
    <w:p w14:paraId="54C70D79">
      <w:pPr>
        <w:spacing w:after="160"/>
        <w:jc w:val="center"/>
      </w:pPr>
      <w:r>
        <w:rPr>
          <w:color w:val="86909C"/>
          <w:sz w:val="17"/>
        </w:rPr>
        <w:t>▲ 分步生成现状：整页只有两个下拉，空间严重失衡</w:t>
      </w:r>
    </w:p>
    <w:p w14:paraId="4527A1F3">
      <w:pPr>
        <w:spacing w:after="80"/>
        <w:rPr>
          <w:rFonts w:hint="eastAsia"/>
          <w:lang w:val="en-US" w:eastAsia="zh-CN"/>
        </w:rPr>
      </w:pPr>
      <w:r>
        <w:rPr>
          <w:b/>
          <w:color w:val="D97706"/>
          <w:sz w:val="20"/>
        </w:rPr>
        <w:t>【P1】</w:t>
      </w:r>
      <w:r>
        <w:t xml:space="preserve"> 这是全站「空与割裂」最严重的页面：仅「文书类型 / 文书示例」两个下拉，大片空白，与左侧材料栏比例失衡。建议：① 空态给出引导插画＋说明</w:t>
      </w:r>
      <w:r>
        <w:rPr>
          <w:rFonts w:hint="eastAsia"/>
          <w:lang w:eastAsia="zh-CN"/>
        </w:rPr>
        <w:t>。</w:t>
      </w:r>
      <w:r>
        <w:rPr>
          <w:rFonts w:hint="eastAsia"/>
          <w:lang w:val="en-US" w:eastAsia="zh-CN"/>
        </w:rPr>
        <w:t>或者目前只支持裁判文书，直接默认展示裁判文书。</w:t>
      </w:r>
    </w:p>
    <w:p w14:paraId="6D7966B1">
      <w:pPr>
        <w:spacing w:after="80"/>
        <w:rPr>
          <w:rFonts w:hint="eastAsia"/>
          <w:lang w:val="en-US" w:eastAsia="zh-CN"/>
        </w:rPr>
      </w:pPr>
    </w:p>
    <w:p w14:paraId="3024BD59">
      <w:pPr>
        <w:pStyle w:val="3"/>
        <w:numPr>
          <w:ilvl w:val="0"/>
          <w:numId w:val="2"/>
        </w:numPr>
        <w:ind w:left="425" w:leftChars="0" w:hanging="425" w:firstLineChars="0"/>
      </w:pPr>
      <w:r>
        <w:t>历史文书抽屉</w:t>
      </w:r>
    </w:p>
    <w:p w14:paraId="544F1B8F">
      <w:pPr>
        <w:spacing w:after="40"/>
        <w:jc w:val="center"/>
      </w:pPr>
      <w:r>
        <w:drawing>
          <wp:inline distT="0" distB="0" distL="114300" distR="114300">
            <wp:extent cx="5760720" cy="3420110"/>
            <wp:effectExtent l="0" t="0" r="5080" b="889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8"/>
                    <a:stretch>
                      <a:fillRect/>
                    </a:stretch>
                  </pic:blipFill>
                  <pic:spPr>
                    <a:xfrm>
                      <a:off x="0" y="0"/>
                      <a:ext cx="5760720" cy="3420427"/>
                    </a:xfrm>
                    <a:prstGeom prst="rect">
                      <a:avLst/>
                    </a:prstGeom>
                  </pic:spPr>
                </pic:pic>
              </a:graphicData>
            </a:graphic>
          </wp:inline>
        </w:drawing>
      </w:r>
    </w:p>
    <w:p w14:paraId="34D9022F">
      <w:pPr>
        <w:spacing w:after="160"/>
        <w:jc w:val="center"/>
      </w:pPr>
      <w:r>
        <w:rPr>
          <w:color w:val="86909C"/>
          <w:sz w:val="17"/>
        </w:rPr>
        <w:t>▲ 历史文书抽屉现状：标题截断、操作 icon-only</w:t>
      </w:r>
    </w:p>
    <w:p w14:paraId="08BF87D0">
      <w:pPr>
        <w:spacing w:after="80"/>
      </w:pPr>
      <w:r>
        <w:rPr>
          <w:b/>
          <w:color w:val="D97706"/>
          <w:sz w:val="20"/>
        </w:rPr>
        <w:t>【P1】</w:t>
      </w:r>
      <w:r>
        <w:t xml:space="preserve"> 四份文书标题截断后完全相同（「（2026）苏05民终5555号…」），副行里才有区分信息。按 5.5 重排：主行放「文书名＋版本/时间」，副行放案号案字；同案多份时按生成时间倒序并给最新版本标识。</w:t>
      </w:r>
    </w:p>
    <w:p w14:paraId="2BA47135">
      <w:pPr>
        <w:spacing w:after="80"/>
      </w:pPr>
      <w:r>
        <w:rPr>
          <w:b/>
          <w:color w:val="D97706"/>
          <w:sz w:val="20"/>
        </w:rPr>
        <w:t>【P1】</w:t>
      </w:r>
      <w:r>
        <w:t xml:space="preserve"> 行内操作「查看 / 重新生成 / 下载 / 删除」全部 icon-only 且小：至少 hover 出文字提示；「删除」红色隔离。</w:t>
      </w:r>
    </w:p>
    <w:p w14:paraId="619ED4DC">
      <w:pPr>
        <w:pStyle w:val="3"/>
        <w:numPr>
          <w:ilvl w:val="0"/>
          <w:numId w:val="2"/>
        </w:numPr>
        <w:ind w:left="425" w:leftChars="0" w:hanging="425" w:firstLineChars="0"/>
      </w:pPr>
      <w:r>
        <w:t>文书详情页 ＆ 文书精修</w:t>
      </w:r>
    </w:p>
    <w:p w14:paraId="0043D7D0">
      <w:pPr>
        <w:spacing w:after="40"/>
        <w:jc w:val="center"/>
      </w:pPr>
      <w:r>
        <w:drawing>
          <wp:inline distT="0" distB="0" distL="114300" distR="114300">
            <wp:extent cx="5760720" cy="3420110"/>
            <wp:effectExtent l="0" t="0" r="5080" b="8890"/>
            <wp:docPr id="1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pic:cNvPicPr>
                      <a:picLocks noChangeAspect="1"/>
                    </pic:cNvPicPr>
                  </pic:nvPicPr>
                  <pic:blipFill>
                    <a:blip r:embed="rId9"/>
                    <a:stretch>
                      <a:fillRect/>
                    </a:stretch>
                  </pic:blipFill>
                  <pic:spPr>
                    <a:xfrm>
                      <a:off x="0" y="0"/>
                      <a:ext cx="5760720" cy="3420427"/>
                    </a:xfrm>
                    <a:prstGeom prst="rect">
                      <a:avLst/>
                    </a:prstGeom>
                  </pic:spPr>
                </pic:pic>
              </a:graphicData>
            </a:graphic>
          </wp:inline>
        </w:drawing>
      </w:r>
    </w:p>
    <w:p w14:paraId="244F87F0">
      <w:pPr>
        <w:spacing w:after="160"/>
        <w:jc w:val="center"/>
      </w:pPr>
      <w:r>
        <w:rPr>
          <w:color w:val="86909C"/>
          <w:sz w:val="17"/>
        </w:rPr>
        <w:t>▲ 文书详情（在线编辑器）现状</w:t>
      </w:r>
    </w:p>
    <w:p w14:paraId="52E1BD63">
      <w:pPr>
        <w:spacing w:after="40"/>
        <w:jc w:val="center"/>
      </w:pPr>
      <w:r>
        <w:drawing>
          <wp:inline distT="0" distB="0" distL="114300" distR="114300">
            <wp:extent cx="3108960" cy="565150"/>
            <wp:effectExtent l="0" t="0" r="2540" b="6350"/>
            <wp:docPr id="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pic:cNvPicPr>
                      <a:picLocks noChangeAspect="1"/>
                    </pic:cNvPicPr>
                  </pic:nvPicPr>
                  <pic:blipFill>
                    <a:blip r:embed="rId10"/>
                    <a:stretch>
                      <a:fillRect/>
                    </a:stretch>
                  </pic:blipFill>
                  <pic:spPr>
                    <a:xfrm>
                      <a:off x="0" y="0"/>
                      <a:ext cx="3108960" cy="565266"/>
                    </a:xfrm>
                    <a:prstGeom prst="rect">
                      <a:avLst/>
                    </a:prstGeom>
                  </pic:spPr>
                </pic:pic>
              </a:graphicData>
            </a:graphic>
          </wp:inline>
        </w:drawing>
      </w:r>
    </w:p>
    <w:p w14:paraId="66CC9588">
      <w:pPr>
        <w:spacing w:after="160"/>
        <w:jc w:val="center"/>
      </w:pPr>
      <w:r>
        <w:rPr>
          <w:color w:val="86909C"/>
          <w:sz w:val="17"/>
        </w:rPr>
        <w:t>▲ 顶部工具栏放大：要件/法条/文书/版本/精修全部 icon-only，语义不可见</w:t>
      </w:r>
    </w:p>
    <w:p w14:paraId="53A57D4B">
      <w:pPr>
        <w:spacing w:after="80"/>
      </w:pPr>
      <w:r>
        <w:rPr>
          <w:b/>
          <w:color w:val="DC2626"/>
          <w:sz w:val="20"/>
        </w:rPr>
        <w:t>【P0】</w:t>
      </w:r>
      <w:r>
        <w:t xml:space="preserve"> 核心 AI 能力入口被埋没：「文书精修」是本产品的招牌能力，入口却是一个无文字的魔法棒小图标，与「更多操作」视觉权重相同。建议顶部工具栏改为图标＋文字（要件 / 法条 / 文书 / 精修 / 版本），「精修」用品牌色强化为 AI 标识入口；计数徽标（11、4）加大并与图标组合说明（如「要件 11」）。</w:t>
      </w:r>
    </w:p>
    <w:p w14:paraId="0460F557">
      <w:pPr>
        <w:spacing w:after="80"/>
      </w:pPr>
      <w:r>
        <w:rPr>
          <w:b/>
          <w:color w:val="D97706"/>
          <w:sz w:val="20"/>
        </w:rPr>
        <w:t>【P1】</w:t>
      </w:r>
      <w:r>
        <w:t xml:space="preserve"> 面包屑信息行「(2026)苏05民终5555号 · 裁判文书 · 第 1 版 · 洪虹 · 2026-09-17 05:16」是对的，保留，但字号提升、版本号做醒目徽标。</w:t>
      </w:r>
    </w:p>
    <w:p w14:paraId="02C26E3A">
      <w:pPr>
        <w:spacing w:after="80"/>
        <w:rPr>
          <w:rFonts w:hint="default"/>
          <w:lang w:val="en-US" w:eastAsia="zh-CN"/>
        </w:rPr>
      </w:pPr>
    </w:p>
    <w:p w14:paraId="28B7C64E">
      <w:pPr>
        <w:spacing w:after="40"/>
        <w:jc w:val="center"/>
      </w:pPr>
      <w:r>
        <w:drawing>
          <wp:inline distT="0" distB="0" distL="114300" distR="114300">
            <wp:extent cx="5760720" cy="3420110"/>
            <wp:effectExtent l="0" t="0" r="5080" b="8890"/>
            <wp:docPr id="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pic:cNvPicPr>
                      <a:picLocks noChangeAspect="1"/>
                    </pic:cNvPicPr>
                  </pic:nvPicPr>
                  <pic:blipFill>
                    <a:blip r:embed="rId11"/>
                    <a:stretch>
                      <a:fillRect/>
                    </a:stretch>
                  </pic:blipFill>
                  <pic:spPr>
                    <a:xfrm>
                      <a:off x="0" y="0"/>
                      <a:ext cx="5760720" cy="3420427"/>
                    </a:xfrm>
                    <a:prstGeom prst="rect">
                      <a:avLst/>
                    </a:prstGeom>
                  </pic:spPr>
                </pic:pic>
              </a:graphicData>
            </a:graphic>
          </wp:inline>
        </w:drawing>
      </w:r>
    </w:p>
    <w:p w14:paraId="31887691">
      <w:pPr>
        <w:spacing w:after="160"/>
        <w:jc w:val="center"/>
      </w:pPr>
      <w:r>
        <w:rPr>
          <w:color w:val="86909C"/>
          <w:sz w:val="17"/>
        </w:rPr>
        <w:t>▲ 文书精修面板空态现状</w:t>
      </w:r>
    </w:p>
    <w:p w14:paraId="1D5EFFA9">
      <w:pPr>
        <w:spacing w:after="80"/>
      </w:pPr>
      <w:r>
        <w:rPr>
          <w:b/>
          <w:color w:val="D97706"/>
          <w:sz w:val="20"/>
        </w:rPr>
        <w:t>【P1】</w:t>
      </w:r>
      <w:r>
        <w:t xml:space="preserve"> 精修空态文字太淡太小：「和 AI 一起精修这份文书」这句很好的定位语被弱化，三条常用指令 chip 也不显眼。</w:t>
      </w:r>
    </w:p>
    <w:p w14:paraId="6FB574DA">
      <w:pPr>
        <w:spacing w:after="80"/>
      </w:pPr>
      <w:r>
        <w:rPr>
          <w:b/>
          <w:color w:val="D97706"/>
          <w:sz w:val="20"/>
        </w:rPr>
        <w:t>【P1】</w:t>
      </w:r>
      <w:r>
        <w:t xml:space="preserve"> 面板与左侧编辑器争空间：建议精修时编辑器自动滚动到相关段落（有提案时高亮锚点），面板宽度过窄时改为浮层。精修提案列表的「插入/忽略」按钮加大。</w:t>
      </w:r>
    </w:p>
    <w:p w14:paraId="746A185B">
      <w:pPr>
        <w:spacing w:after="80"/>
      </w:pPr>
    </w:p>
    <w:p w14:paraId="12CDDDF9">
      <w:pPr>
        <w:pStyle w:val="3"/>
        <w:numPr>
          <w:ilvl w:val="0"/>
          <w:numId w:val="2"/>
        </w:numPr>
        <w:ind w:left="425" w:leftChars="0" w:hanging="425" w:firstLineChars="0"/>
      </w:pPr>
      <w:r>
        <w:t>我的文书示例 / 我的指令 / 我的要件</w:t>
      </w:r>
    </w:p>
    <w:p w14:paraId="6EB32C3A">
      <w:pPr>
        <w:spacing w:after="40"/>
        <w:jc w:val="center"/>
      </w:pPr>
      <w:r>
        <w:drawing>
          <wp:inline distT="0" distB="0" distL="114300" distR="114300">
            <wp:extent cx="5760720" cy="3420110"/>
            <wp:effectExtent l="0" t="0" r="5080" b="8890"/>
            <wp:docPr id="1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4"/>
                    <pic:cNvPicPr>
                      <a:picLocks noChangeAspect="1"/>
                    </pic:cNvPicPr>
                  </pic:nvPicPr>
                  <pic:blipFill>
                    <a:blip r:embed="rId12"/>
                    <a:stretch>
                      <a:fillRect/>
                    </a:stretch>
                  </pic:blipFill>
                  <pic:spPr>
                    <a:xfrm>
                      <a:off x="0" y="0"/>
                      <a:ext cx="5760720" cy="3420427"/>
                    </a:xfrm>
                    <a:prstGeom prst="rect">
                      <a:avLst/>
                    </a:prstGeom>
                  </pic:spPr>
                </pic:pic>
              </a:graphicData>
            </a:graphic>
          </wp:inline>
        </w:drawing>
      </w:r>
    </w:p>
    <w:p w14:paraId="73C88C12">
      <w:pPr>
        <w:spacing w:after="160"/>
        <w:jc w:val="center"/>
      </w:pPr>
      <w:r>
        <w:rPr>
          <w:color w:val="86909C"/>
          <w:sz w:val="17"/>
        </w:rPr>
        <w:t>▲ 我的文书示例现状</w:t>
      </w:r>
    </w:p>
    <w:p w14:paraId="6BB70D0C">
      <w:pPr>
        <w:spacing w:after="40"/>
        <w:jc w:val="center"/>
      </w:pPr>
      <w:r>
        <w:drawing>
          <wp:inline distT="0" distB="0" distL="114300" distR="114300">
            <wp:extent cx="5760720" cy="3420110"/>
            <wp:effectExtent l="0" t="0" r="5080" b="8890"/>
            <wp:docPr id="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5"/>
                    <pic:cNvPicPr>
                      <a:picLocks noChangeAspect="1"/>
                    </pic:cNvPicPr>
                  </pic:nvPicPr>
                  <pic:blipFill>
                    <a:blip r:embed="rId13"/>
                    <a:stretch>
                      <a:fillRect/>
                    </a:stretch>
                  </pic:blipFill>
                  <pic:spPr>
                    <a:xfrm>
                      <a:off x="0" y="0"/>
                      <a:ext cx="5760720" cy="3420427"/>
                    </a:xfrm>
                    <a:prstGeom prst="rect">
                      <a:avLst/>
                    </a:prstGeom>
                  </pic:spPr>
                </pic:pic>
              </a:graphicData>
            </a:graphic>
          </wp:inline>
        </w:drawing>
      </w:r>
    </w:p>
    <w:p w14:paraId="546586DC">
      <w:pPr>
        <w:spacing w:after="160"/>
        <w:jc w:val="center"/>
      </w:pPr>
      <w:r>
        <w:rPr>
          <w:color w:val="86909C"/>
          <w:sz w:val="17"/>
        </w:rPr>
        <w:t>▲ 我的要求件现状：单卡片漂在大片空白中</w:t>
      </w:r>
    </w:p>
    <w:p w14:paraId="61C9BF12">
      <w:pPr>
        <w:spacing w:after="80"/>
      </w:pPr>
      <w:r>
        <w:rPr>
          <w:b/>
          <w:color w:val="D97706"/>
          <w:sz w:val="20"/>
        </w:rPr>
        <w:t>【P1】</w:t>
      </w:r>
      <w:r>
        <w:t xml:space="preserve"> 三页同构问题：左侧分类树＋右侧卡片。共性问题：① 卡片小而散</w:t>
      </w:r>
      <w:r>
        <w:rPr>
          <w:rFonts w:hint="eastAsia"/>
          <w:lang w:eastAsia="zh-CN"/>
        </w:rPr>
        <w:t>；</w:t>
      </w:r>
      <w:r>
        <w:t>② 单卡时页面大面空白——空旷时卡片加大尺寸或改单列大卡，避免「一个元素悬在白纸上」；③ 左树「全部」与右侧页头层级关系要理顺：分类树是筛选器，视觉降级（窄栏、灰底），内容区才是主角。</w:t>
      </w:r>
    </w:p>
    <w:p w14:paraId="20B708D8">
      <w:pPr>
        <w:pStyle w:val="3"/>
        <w:numPr>
          <w:ilvl w:val="0"/>
          <w:numId w:val="2"/>
        </w:numPr>
        <w:ind w:left="425" w:leftChars="0" w:hanging="425" w:firstLineChars="0"/>
      </w:pPr>
      <w:r>
        <w:t>全部文书</w:t>
      </w:r>
    </w:p>
    <w:p w14:paraId="12B4F2BF">
      <w:pPr>
        <w:spacing w:after="40"/>
        <w:jc w:val="center"/>
      </w:pPr>
      <w:r>
        <w:drawing>
          <wp:inline distT="0" distB="0" distL="114300" distR="114300">
            <wp:extent cx="5760720" cy="3420110"/>
            <wp:effectExtent l="0" t="0" r="5080" b="8890"/>
            <wp:docPr id="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6"/>
                    <pic:cNvPicPr>
                      <a:picLocks noChangeAspect="1"/>
                    </pic:cNvPicPr>
                  </pic:nvPicPr>
                  <pic:blipFill>
                    <a:blip r:embed="rId14"/>
                    <a:stretch>
                      <a:fillRect/>
                    </a:stretch>
                  </pic:blipFill>
                  <pic:spPr>
                    <a:xfrm>
                      <a:off x="0" y="0"/>
                      <a:ext cx="5760720" cy="3420427"/>
                    </a:xfrm>
                    <a:prstGeom prst="rect">
                      <a:avLst/>
                    </a:prstGeom>
                  </pic:spPr>
                </pic:pic>
              </a:graphicData>
            </a:graphic>
          </wp:inline>
        </w:drawing>
      </w:r>
    </w:p>
    <w:p w14:paraId="45C4B640">
      <w:pPr>
        <w:spacing w:after="160"/>
        <w:jc w:val="center"/>
      </w:pPr>
      <w:r>
        <w:rPr>
          <w:color w:val="86909C"/>
          <w:sz w:val="17"/>
        </w:rPr>
        <w:t>▲ 全部文书列表现状：信息密度尚可，操作与状态偏弱</w:t>
      </w:r>
    </w:p>
    <w:p w14:paraId="6E347325">
      <w:pPr>
        <w:spacing w:after="80"/>
      </w:pPr>
      <w:r>
        <w:rPr>
          <w:b/>
          <w:color w:val="D97706"/>
          <w:sz w:val="20"/>
        </w:rPr>
        <w:t>【P1】</w:t>
      </w:r>
      <w:r>
        <w:t xml:space="preserve"> 行操作「查看/重新生成/下载/删除」icon-only；行 hover 底色缺失。</w:t>
      </w:r>
    </w:p>
    <w:p w14:paraId="74F3F400">
      <w:pPr>
        <w:spacing w:after="80"/>
      </w:pPr>
      <w:r>
        <w:rPr>
          <w:b/>
          <w:color w:val="D97706"/>
          <w:sz w:val="20"/>
        </w:rPr>
        <w:t>【P1】</w:t>
      </w:r>
      <w:r>
        <w:t xml:space="preserve"> 页头说明文字「案件汇总文书，可按条件筛选。勾选【仅看我的】只显示本人生成的」12px 淡灰，信息有用却像背景噪音：改 12px 正常灰或并入标签行。</w:t>
      </w:r>
    </w:p>
    <w:p w14:paraId="254A43E8">
      <w:pPr>
        <w:spacing w:after="80"/>
      </w:pPr>
      <w:r>
        <w:rPr>
          <w:b/>
          <w:color w:val="D97706"/>
          <w:sz w:val="20"/>
        </w:rPr>
        <w:t>【P1】</w:t>
      </w:r>
      <w:r>
        <w:t xml:space="preserve"> 「仅看我的」是 checkbox 而非标签，与全站筛选体系不一致。</w:t>
      </w:r>
    </w:p>
    <w:p w14:paraId="4D2F6A9E">
      <w:pPr>
        <w:spacing w:after="80"/>
      </w:pPr>
    </w:p>
    <w:p w14:paraId="6F05AFAB">
      <w:pPr>
        <w:pStyle w:val="3"/>
        <w:numPr>
          <w:ilvl w:val="0"/>
          <w:numId w:val="2"/>
        </w:numPr>
        <w:ind w:left="425" w:leftChars="0" w:hanging="425" w:firstLineChars="0"/>
      </w:pPr>
      <w:r>
        <w:t xml:space="preserve"> 个人法条库</w:t>
      </w:r>
    </w:p>
    <w:p w14:paraId="57F3F128">
      <w:pPr>
        <w:spacing w:after="40"/>
        <w:jc w:val="center"/>
      </w:pPr>
      <w:r>
        <w:drawing>
          <wp:inline distT="0" distB="0" distL="114300" distR="114300">
            <wp:extent cx="5760720" cy="3420110"/>
            <wp:effectExtent l="0" t="0" r="5080" b="8890"/>
            <wp:docPr id="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7"/>
                    <pic:cNvPicPr>
                      <a:picLocks noChangeAspect="1"/>
                    </pic:cNvPicPr>
                  </pic:nvPicPr>
                  <pic:blipFill>
                    <a:blip r:embed="rId15"/>
                    <a:stretch>
                      <a:fillRect/>
                    </a:stretch>
                  </pic:blipFill>
                  <pic:spPr>
                    <a:xfrm>
                      <a:off x="0" y="0"/>
                      <a:ext cx="5760720" cy="3420427"/>
                    </a:xfrm>
                    <a:prstGeom prst="rect">
                      <a:avLst/>
                    </a:prstGeom>
                  </pic:spPr>
                </pic:pic>
              </a:graphicData>
            </a:graphic>
          </wp:inline>
        </w:drawing>
      </w:r>
    </w:p>
    <w:p w14:paraId="3322F709">
      <w:pPr>
        <w:spacing w:after="160"/>
        <w:jc w:val="center"/>
      </w:pPr>
      <w:r>
        <w:rPr>
          <w:color w:val="86909C"/>
          <w:sz w:val="17"/>
        </w:rPr>
        <w:t>▲ 个人法条库现状：空态与筛选标签</w:t>
      </w:r>
    </w:p>
    <w:p w14:paraId="66F006F8">
      <w:pPr>
        <w:spacing w:after="80"/>
      </w:pPr>
      <w:r>
        <w:rPr>
          <w:b/>
          <w:color w:val="D97706"/>
          <w:sz w:val="20"/>
        </w:rPr>
        <w:t>【P1】</w:t>
      </w:r>
      <w:r>
        <w:t xml:space="preserve"> 筛选标签「全部/现行有效/已修改/尚未生效/未标注/已废止/已失效」七个并排，字小、细、选中态弱——这是法条时效体系，法官高度依赖，必须按 状态色强化（现行有效绿、已废止红、尚未生效橙…）。</w:t>
      </w:r>
    </w:p>
    <w:p w14:paraId="656614BD">
      <w:pPr>
        <w:spacing w:after="80"/>
      </w:pPr>
      <w:r>
        <w:rPr>
          <w:b/>
          <w:color w:val="86909C"/>
          <w:sz w:val="20"/>
        </w:rPr>
        <w:t>【P2】</w:t>
      </w:r>
      <w:r>
        <w:t xml:space="preserve"> 空态「还没有法条文件，点击上传法条开始」可以，但建议给「上传法条」直接做行动按钮而非纯文字指引。</w:t>
      </w:r>
    </w:p>
    <w:p w14:paraId="774940F1">
      <w:pPr>
        <w:spacing w:after="80"/>
      </w:pPr>
    </w:p>
    <w:p w14:paraId="3B75D9DB">
      <w:pPr>
        <w:pStyle w:val="3"/>
        <w:numPr>
          <w:ilvl w:val="0"/>
          <w:numId w:val="2"/>
        </w:numPr>
        <w:ind w:left="425" w:leftChars="0" w:hanging="425" w:firstLineChars="0"/>
      </w:pPr>
      <w:r>
        <w:t>知识库</w:t>
      </w:r>
    </w:p>
    <w:p w14:paraId="21333666">
      <w:pPr>
        <w:spacing w:after="40"/>
        <w:jc w:val="center"/>
      </w:pPr>
      <w:r>
        <w:drawing>
          <wp:inline distT="0" distB="0" distL="114300" distR="114300">
            <wp:extent cx="5760720" cy="3420110"/>
            <wp:effectExtent l="0" t="0" r="5080" b="8890"/>
            <wp:docPr id="2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8"/>
                    <pic:cNvPicPr>
                      <a:picLocks noChangeAspect="1"/>
                    </pic:cNvPicPr>
                  </pic:nvPicPr>
                  <pic:blipFill>
                    <a:blip r:embed="rId16"/>
                    <a:stretch>
                      <a:fillRect/>
                    </a:stretch>
                  </pic:blipFill>
                  <pic:spPr>
                    <a:xfrm>
                      <a:off x="0" y="0"/>
                      <a:ext cx="5760720" cy="3420427"/>
                    </a:xfrm>
                    <a:prstGeom prst="rect">
                      <a:avLst/>
                    </a:prstGeom>
                  </pic:spPr>
                </pic:pic>
              </a:graphicData>
            </a:graphic>
          </wp:inline>
        </w:drawing>
      </w:r>
    </w:p>
    <w:p w14:paraId="2949E27D">
      <w:pPr>
        <w:spacing w:after="160"/>
        <w:jc w:val="center"/>
      </w:pPr>
      <w:r>
        <w:rPr>
          <w:color w:val="86909C"/>
          <w:sz w:val="17"/>
        </w:rPr>
        <w:t>▲ 知识库现状：卡片内容与卡片面积不成比例</w:t>
      </w:r>
    </w:p>
    <w:p w14:paraId="6020F549">
      <w:pPr>
        <w:spacing w:after="80"/>
      </w:pPr>
      <w:r>
        <w:rPr>
          <w:b/>
          <w:color w:val="D97706"/>
          <w:sz w:val="20"/>
        </w:rPr>
        <w:t>【P1】</w:t>
      </w:r>
      <w:r>
        <w:t xml:space="preserve"> 卡片「框大内容少」：图标＋名称＋描述＋计数，中部与下部大量留白。建议：① 响应式 4–5 列压缩单卡面积；② 卡片增加实质信息（最近更新时间、文档数、可见性）并分层排布；③ 「暂无描述」占位统一。</w:t>
      </w:r>
    </w:p>
    <w:p w14:paraId="16FA603B">
      <w:pPr>
        <w:spacing w:after="80"/>
      </w:pPr>
      <w:r>
        <w:rPr>
          <w:b/>
          <w:color w:val="D97706"/>
          <w:sz w:val="20"/>
        </w:rPr>
        <w:t>【P1】</w:t>
      </w:r>
      <w:r>
        <w:t xml:space="preserve"> 顶部「全部/我的/本院共享/平台」与「共 8 个」合并为「全部（8）」；检索框、排序、创建按钮分组对齐。</w:t>
      </w:r>
    </w:p>
    <w:p w14:paraId="4B38B586">
      <w:pPr>
        <w:spacing w:after="80"/>
      </w:pPr>
      <w:r>
        <w:rPr>
          <w:b/>
          <w:color w:val="86909C"/>
          <w:sz w:val="20"/>
        </w:rPr>
        <w:t>【P2】</w:t>
      </w:r>
      <w:r>
        <w:t xml:space="preserve"> 图标偏素，按全局图标规范上色（注意离线部署约束：图标资源本地化，不引外网 CDN）。</w:t>
      </w:r>
    </w:p>
    <w:p w14:paraId="24821856">
      <w:pPr>
        <w:spacing w:after="80"/>
      </w:pPr>
    </w:p>
    <w:p w14:paraId="5C839EE3">
      <w:pPr>
        <w:pStyle w:val="3"/>
        <w:numPr>
          <w:ilvl w:val="0"/>
          <w:numId w:val="2"/>
        </w:numPr>
        <w:ind w:left="425" w:leftChars="0" w:hanging="425" w:firstLineChars="0"/>
      </w:pPr>
      <w:r>
        <w:t>要件答案的证据溯源</w:t>
      </w:r>
    </w:p>
    <w:p w14:paraId="1D56D469">
      <w:pPr>
        <w:spacing w:after="80"/>
      </w:pPr>
      <w:r>
        <w:rPr>
          <w:b w:val="0"/>
          <w:sz w:val="21"/>
        </w:rPr>
        <w:t>要件抽屉里 AI 给出的答案目前缺「结论从哪来」。每条答案下挂来源材料引用 chip（材料名＋定位），点击跳转材料对应位置；答案带三态徽标：已确认（绿）/ 有争议（橙）/ 待确认（灰）。依据：《本案要件审查功能方案》三态定义；PRD 原则「AI 标注争议与证据不足，认定权在法官」。溯源 UI 目前 PRD 未覆盖，需产品补一条需求。</w:t>
      </w:r>
    </w:p>
    <w:p w14:paraId="74C8AFF0">
      <w:pPr>
        <w:pStyle w:val="3"/>
        <w:numPr>
          <w:ilvl w:val="0"/>
          <w:numId w:val="2"/>
        </w:numPr>
        <w:ind w:left="425" w:leftChars="0" w:hanging="425" w:firstLineChars="0"/>
      </w:pPr>
      <w:r>
        <w:t>AI 问答的引用来源常驻</w:t>
      </w:r>
    </w:p>
    <w:p w14:paraId="54A85423">
      <w:pPr>
        <w:spacing w:after="80"/>
      </w:pPr>
      <w:r>
        <w:rPr>
          <w:b w:val="0"/>
          <w:sz w:val="21"/>
        </w:rPr>
        <w:t>案件问答的答案必须默认带「引用来源」区（来源材料 chip，可点击展开原文），不允许只给结论。这与 法条抽屉的做法同构。依据：V1.3 PRD 5.13。</w:t>
      </w:r>
    </w:p>
    <w:p w14:paraId="537AF8C5">
      <w:pPr>
        <w:pStyle w:val="3"/>
        <w:numPr>
          <w:ilvl w:val="0"/>
          <w:numId w:val="2"/>
        </w:numPr>
        <w:ind w:left="425" w:leftChars="0" w:hanging="425" w:firstLineChars="0"/>
      </w:pPr>
      <w:r>
        <w:t>解析异常的阻断级披露（P1）</w:t>
      </w:r>
    </w:p>
    <w:p w14:paraId="0F3D176D">
      <w:pPr>
        <w:spacing w:after="80"/>
      </w:pPr>
      <w:r>
        <w:rPr>
          <w:b w:val="0"/>
          <w:sz w:val="21"/>
        </w:rPr>
        <w:t>材料存在解析异常并被排除时，生成配置区必须显著提示「已排除 N 份解析异常材料」并提供查看清单，避免法官误以为全文参与生成。当前提示偏弱。依据：用户侧 PRD 4.1.3。</w:t>
      </w:r>
    </w:p>
    <w:p w14:paraId="27438927">
      <w:pPr>
        <w:spacing w:after="80"/>
        <w:rPr>
          <w:rFonts w:hint="default" w:eastAsiaTheme="minorEastAsia"/>
          <w:lang w:val="en-US" w:eastAsia="zh-CN"/>
        </w:rPr>
      </w:pPr>
    </w:p>
    <w:p w14:paraId="01E5D3C2">
      <w:pPr>
        <w:pStyle w:val="3"/>
        <w:numPr>
          <w:ilvl w:val="0"/>
          <w:numId w:val="2"/>
        </w:numPr>
        <w:ind w:left="425" w:leftChars="0" w:hanging="425" w:firstLineChars="0"/>
      </w:pPr>
      <w:r>
        <w:t xml:space="preserve"> 破坏性操作二次确认的一致化（P1）</w:t>
      </w:r>
    </w:p>
    <w:p w14:paraId="65F66A83">
      <w:pPr>
        <w:spacing w:after="80"/>
        <w:rPr>
          <w:b w:val="0"/>
          <w:sz w:val="21"/>
        </w:rPr>
      </w:pPr>
      <w:r>
        <w:rPr>
          <w:b w:val="0"/>
          <w:sz w:val="21"/>
        </w:rPr>
        <w:t>删除案件/材料/文书/示例/指令/要件六类入口，二次确认弹窗统一：红色主调、高亮受影响对象名与数量、按钮「确认删除/取消」无歧义。</w:t>
      </w:r>
    </w:p>
    <w:p w14:paraId="3926E1DA">
      <w:pPr>
        <w:spacing w:after="80"/>
      </w:pPr>
    </w:p>
    <w:p w14:paraId="3EA5A146">
      <w:pPr>
        <w:numPr>
          <w:numId w:val="0"/>
        </w:numPr>
        <w:rPr>
          <w:rFonts w:hint="default"/>
          <w:b/>
          <w:bCs/>
          <w:sz w:val="28"/>
          <w:szCs w:val="36"/>
          <w:lang w:val="en-US" w:eastAsia="zh-CN"/>
        </w:rPr>
      </w:pPr>
      <w:r>
        <w:rPr>
          <w:rFonts w:hint="eastAsia"/>
          <w:b/>
          <w:bCs/>
          <w:sz w:val="28"/>
          <w:szCs w:val="36"/>
          <w:lang w:val="en-US" w:eastAsia="zh-CN"/>
        </w:rPr>
        <w:t>其他的小点</w:t>
      </w:r>
    </w:p>
    <w:p w14:paraId="0B785191">
      <w:pPr>
        <w:numPr>
          <w:numId w:val="0"/>
        </w:numPr>
        <w:rPr>
          <w:rFonts w:hint="default"/>
          <w:lang w:val="en-US" w:eastAsia="zh-CN"/>
        </w:rPr>
      </w:pPr>
    </w:p>
    <w:p w14:paraId="13061AE2">
      <w:pPr>
        <w:numPr>
          <w:numId w:val="0"/>
        </w:numPr>
        <w:rPr>
          <w:rFonts w:hint="eastAsia"/>
          <w:lang w:val="en-US" w:eastAsia="zh-CN"/>
        </w:rPr>
      </w:pPr>
    </w:p>
    <w:p w14:paraId="218E7D80">
      <w:pPr>
        <w:numPr>
          <w:ilvl w:val="0"/>
          <w:numId w:val="3"/>
        </w:numPr>
        <w:rPr>
          <w:rFonts w:hint="eastAsia"/>
          <w:lang w:val="en-US" w:eastAsia="zh-CN"/>
        </w:rPr>
      </w:pPr>
      <w:r>
        <w:rPr>
          <w:rFonts w:hint="eastAsia"/>
          <w:lang w:val="en-US" w:eastAsia="zh-CN"/>
        </w:rPr>
        <w:t>整体的字偏小偏淡，没有层次感。</w:t>
      </w:r>
    </w:p>
    <w:p w14:paraId="7B8412EF">
      <w:pPr>
        <w:widowControl w:val="0"/>
        <w:numPr>
          <w:numId w:val="0"/>
        </w:numPr>
        <w:jc w:val="both"/>
      </w:pPr>
      <w:r>
        <w:drawing>
          <wp:inline distT="0" distB="0" distL="114300" distR="114300">
            <wp:extent cx="5266055" cy="230695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7"/>
                    <a:stretch>
                      <a:fillRect/>
                    </a:stretch>
                  </pic:blipFill>
                  <pic:spPr>
                    <a:xfrm>
                      <a:off x="0" y="0"/>
                      <a:ext cx="5266055" cy="2306955"/>
                    </a:xfrm>
                    <a:prstGeom prst="rect">
                      <a:avLst/>
                    </a:prstGeom>
                    <a:noFill/>
                    <a:ln>
                      <a:noFill/>
                    </a:ln>
                  </pic:spPr>
                </pic:pic>
              </a:graphicData>
            </a:graphic>
          </wp:inline>
        </w:drawing>
      </w:r>
    </w:p>
    <w:p w14:paraId="6EBBF3A5">
      <w:pPr>
        <w:widowControl w:val="0"/>
        <w:numPr>
          <w:numId w:val="0"/>
        </w:numPr>
        <w:jc w:val="both"/>
      </w:pPr>
    </w:p>
    <w:p w14:paraId="1EB1252C">
      <w:pPr>
        <w:keepNext w:val="0"/>
        <w:keepLines w:val="0"/>
        <w:widowControl/>
        <w:suppressLineNumbers w:val="0"/>
        <w:jc w:val="left"/>
      </w:pPr>
    </w:p>
    <w:p w14:paraId="2A022504">
      <w:pPr>
        <w:widowControl w:val="0"/>
        <w:numPr>
          <w:numId w:val="0"/>
        </w:numPr>
        <w:jc w:val="both"/>
        <w:rPr>
          <w:rFonts w:hint="default"/>
          <w:lang w:val="en-US" w:eastAsia="zh-CN"/>
        </w:rPr>
      </w:pPr>
    </w:p>
    <w:p w14:paraId="64BD1EFF">
      <w:pPr>
        <w:widowControl w:val="0"/>
        <w:numPr>
          <w:numId w:val="0"/>
        </w:numPr>
        <w:jc w:val="both"/>
        <w:rPr>
          <w:rFonts w:hint="eastAsia"/>
          <w:lang w:val="en-US" w:eastAsia="zh-CN"/>
        </w:rPr>
      </w:pPr>
    </w:p>
    <w:p w14:paraId="671CFB07">
      <w:pPr>
        <w:numPr>
          <w:ilvl w:val="0"/>
          <w:numId w:val="3"/>
        </w:numPr>
        <w:rPr>
          <w:rFonts w:hint="default"/>
          <w:lang w:val="en-US" w:eastAsia="zh-CN"/>
        </w:rPr>
      </w:pPr>
      <w:r>
        <w:rPr>
          <w:rFonts w:hint="eastAsia"/>
          <w:lang w:val="en-US" w:eastAsia="zh-CN"/>
        </w:rPr>
        <w:t>左边历史对话这些列表文字颜色太浅（看看豆包 chatgpt这些AI产品 左侧栏都不会做的这么淡 文字颜色要深一些）</w:t>
      </w:r>
    </w:p>
    <w:p w14:paraId="4749FD83">
      <w:pPr>
        <w:numPr>
          <w:numId w:val="0"/>
        </w:numPr>
        <w:rPr>
          <w:rFonts w:hint="default"/>
          <w:lang w:val="en-US" w:eastAsia="zh-CN"/>
        </w:rPr>
      </w:pPr>
      <w:r>
        <w:rPr>
          <w:rFonts w:hint="default"/>
          <w:lang w:val="en-US" w:eastAsia="zh-CN"/>
        </w:rPr>
        <w:drawing>
          <wp:inline distT="0" distB="0" distL="114300" distR="114300">
            <wp:extent cx="5264785" cy="2753360"/>
            <wp:effectExtent l="0" t="0" r="5715" b="2540"/>
            <wp:docPr id="5" name="图片 5" descr="dae5e2c13bcd6cb906062fa7ccfeda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ae5e2c13bcd6cb906062fa7ccfeda1b"/>
                    <pic:cNvPicPr>
                      <a:picLocks noChangeAspect="1"/>
                    </pic:cNvPicPr>
                  </pic:nvPicPr>
                  <pic:blipFill>
                    <a:blip r:embed="rId18"/>
                    <a:stretch>
                      <a:fillRect/>
                    </a:stretch>
                  </pic:blipFill>
                  <pic:spPr>
                    <a:xfrm>
                      <a:off x="0" y="0"/>
                      <a:ext cx="5264785" cy="2753360"/>
                    </a:xfrm>
                    <a:prstGeom prst="rect">
                      <a:avLst/>
                    </a:prstGeom>
                  </pic:spPr>
                </pic:pic>
              </a:graphicData>
            </a:graphic>
          </wp:inline>
        </w:drawing>
      </w:r>
    </w:p>
    <w:p w14:paraId="0536F8E3">
      <w:pPr>
        <w:numPr>
          <w:numId w:val="0"/>
        </w:numPr>
        <w:rPr>
          <w:rFonts w:hint="default"/>
          <w:lang w:val="en-US" w:eastAsia="zh-CN"/>
        </w:rPr>
      </w:pPr>
    </w:p>
    <w:p w14:paraId="279DA092">
      <w:pPr>
        <w:numPr>
          <w:ilvl w:val="0"/>
          <w:numId w:val="3"/>
        </w:numPr>
        <w:ind w:left="0" w:leftChars="0" w:firstLine="0" w:firstLineChars="0"/>
        <w:rPr>
          <w:rFonts w:hint="eastAsia"/>
          <w:lang w:val="en-US" w:eastAsia="zh-CN"/>
        </w:rPr>
      </w:pPr>
      <w:r>
        <w:rPr>
          <w:rFonts w:hint="eastAsia"/>
          <w:lang w:val="en-US" w:eastAsia="zh-CN"/>
        </w:rPr>
        <w:t>对话内容中字要有不同的大小 一级标题 二级标题 正文文本这些 都是有区别的 比如下图示例：</w:t>
      </w:r>
    </w:p>
    <w:p w14:paraId="153AB9CF">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70500" cy="4361180"/>
            <wp:effectExtent l="0" t="0" r="0" b="762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9"/>
                    <a:stretch>
                      <a:fillRect/>
                    </a:stretch>
                  </pic:blipFill>
                  <pic:spPr>
                    <a:xfrm>
                      <a:off x="0" y="0"/>
                      <a:ext cx="5270500" cy="4361180"/>
                    </a:xfrm>
                    <a:prstGeom prst="rect">
                      <a:avLst/>
                    </a:prstGeom>
                    <a:noFill/>
                    <a:ln w="9525">
                      <a:noFill/>
                    </a:ln>
                  </pic:spPr>
                </pic:pic>
              </a:graphicData>
            </a:graphic>
          </wp:inline>
        </w:drawing>
      </w:r>
    </w:p>
    <w:p w14:paraId="379D47D7">
      <w:pPr>
        <w:widowControl w:val="0"/>
        <w:numPr>
          <w:ilvl w:val="0"/>
          <w:numId w:val="0"/>
        </w:numPr>
        <w:jc w:val="both"/>
        <w:rPr>
          <w:rFonts w:hint="eastAsia"/>
          <w:lang w:val="en-US" w:eastAsia="zh-CN"/>
        </w:rPr>
      </w:pPr>
      <w:r>
        <w:rPr>
          <w:rFonts w:hint="eastAsia"/>
          <w:lang w:val="en-US" w:eastAsia="zh-CN"/>
        </w:rPr>
        <w:t>可参考公司已有的字体规范：</w:t>
      </w:r>
    </w:p>
    <w:p w14:paraId="58F26DD3">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266055" cy="5998210"/>
            <wp:effectExtent l="0" t="0" r="4445"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20"/>
                    <a:stretch>
                      <a:fillRect/>
                    </a:stretch>
                  </pic:blipFill>
                  <pic:spPr>
                    <a:xfrm>
                      <a:off x="0" y="0"/>
                      <a:ext cx="5266055" cy="5998210"/>
                    </a:xfrm>
                    <a:prstGeom prst="rect">
                      <a:avLst/>
                    </a:prstGeom>
                    <a:noFill/>
                    <a:ln w="9525">
                      <a:noFill/>
                    </a:ln>
                  </pic:spPr>
                </pic:pic>
              </a:graphicData>
            </a:graphic>
          </wp:inline>
        </w:drawing>
      </w:r>
    </w:p>
    <w:p w14:paraId="600106C6">
      <w:pPr>
        <w:numPr>
          <w:ilvl w:val="0"/>
          <w:numId w:val="3"/>
        </w:numPr>
        <w:rPr>
          <w:rFonts w:hint="eastAsia"/>
          <w:lang w:val="en-US" w:eastAsia="zh-CN"/>
        </w:rPr>
      </w:pPr>
      <w:r>
        <w:rPr>
          <w:rFonts w:hint="eastAsia"/>
          <w:lang w:val="en-US" w:eastAsia="zh-CN"/>
        </w:rPr>
        <w:t>文案红线</w:t>
      </w:r>
    </w:p>
    <w:p w14:paraId="02EAFF0B">
      <w:pPr>
        <w:pStyle w:val="5"/>
        <w:keepNext w:val="0"/>
        <w:keepLines w:val="0"/>
        <w:widowControl/>
        <w:numPr>
          <w:numId w:val="0"/>
        </w:numPr>
        <w:suppressLineNumbers w:val="0"/>
        <w:spacing w:before="0" w:beforeAutospacing="0" w:after="0" w:afterAutospacing="0"/>
        <w:ind w:leftChars="0" w:right="0" w:rightChars="0"/>
        <w:rPr>
          <w:b w:val="0"/>
          <w:sz w:val="21"/>
        </w:rPr>
      </w:pPr>
      <w:r>
        <w:rPr>
          <w:b w:val="0"/>
          <w:sz w:val="21"/>
        </w:rPr>
        <w:t>界面上任何新文案上线前过一遍「法官能看懂吗」检查；类似「模型 / token / caseId / workflow」等词一律替换为业务语言。</w:t>
      </w:r>
    </w:p>
    <w:p w14:paraId="5F4AB9A2">
      <w:pPr>
        <w:pStyle w:val="5"/>
        <w:keepNext w:val="0"/>
        <w:keepLines w:val="0"/>
        <w:widowControl/>
        <w:numPr>
          <w:numId w:val="0"/>
        </w:numPr>
        <w:suppressLineNumbers w:val="0"/>
        <w:spacing w:before="0" w:beforeAutospacing="0" w:after="0" w:afterAutospacing="0"/>
        <w:ind w:leftChars="0" w:right="0" w:rightChars="0"/>
        <w:rPr>
          <w:b w:val="0"/>
          <w:sz w:val="21"/>
        </w:rPr>
      </w:pPr>
    </w:p>
    <w:p w14:paraId="6AB54C21">
      <w:pPr>
        <w:numPr>
          <w:ilvl w:val="0"/>
          <w:numId w:val="3"/>
        </w:numPr>
        <w:rPr>
          <w:rFonts w:hint="eastAsia"/>
          <w:lang w:val="en-US" w:eastAsia="zh-CN"/>
        </w:rPr>
      </w:pPr>
      <w:r>
        <w:rPr>
          <w:rFonts w:hint="eastAsia"/>
          <w:lang w:val="en-US" w:eastAsia="zh-CN"/>
        </w:rPr>
        <w:t>顶部标题栏统一 ＋ 返回按钮</w:t>
      </w:r>
    </w:p>
    <w:p w14:paraId="294E0AC9">
      <w:pPr>
        <w:spacing w:after="80"/>
      </w:pPr>
      <w:r>
        <w:rPr>
          <w:b w:val="0"/>
          <w:sz w:val="21"/>
        </w:rPr>
        <w:t>现状：各页面顶部标题栏样式不一，层级靠面包屑/小图标表达。建议统一为「返回按钮＋大标题＋副标题（案由/案号等辅助信息淡色）」，标题加大后自然分层；一级页面取消多余层级标识。</w:t>
      </w:r>
    </w:p>
    <w:p w14:paraId="10855AEB">
      <w:pPr>
        <w:spacing w:after="80"/>
      </w:pPr>
      <w:r>
        <w:rPr>
          <w:b/>
          <w:color w:val="1F2329"/>
          <w:sz w:val="20"/>
        </w:rPr>
        <w:t>【注意】</w:t>
      </w:r>
      <w:r>
        <w:t xml:space="preserve"> 返回逻辑必须「按来源回退」（记录 referrer）：文书详情既可能从案件列表进入、也可能从案件工作台的历史文书进入，不能像现在一样硬编码返回案件列表，否则丢上下文。</w:t>
      </w:r>
    </w:p>
    <w:p w14:paraId="2AA5CC0B">
      <w:pPr>
        <w:spacing w:after="40"/>
        <w:jc w:val="center"/>
      </w:pPr>
      <w:r>
        <w:drawing>
          <wp:inline distT="0" distB="0" distL="114300" distR="114300">
            <wp:extent cx="5760720" cy="250825"/>
            <wp:effectExtent l="0" t="0" r="5080" b="317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21"/>
                    <a:stretch>
                      <a:fillRect/>
                    </a:stretch>
                  </pic:blipFill>
                  <pic:spPr>
                    <a:xfrm>
                      <a:off x="0" y="0"/>
                      <a:ext cx="5760720" cy="251377"/>
                    </a:xfrm>
                    <a:prstGeom prst="rect">
                      <a:avLst/>
                    </a:prstGeom>
                  </pic:spPr>
                </pic:pic>
              </a:graphicData>
            </a:graphic>
          </wp:inline>
        </w:drawing>
      </w:r>
    </w:p>
    <w:p w14:paraId="3BDEAFFF">
      <w:pPr>
        <w:spacing w:after="160"/>
        <w:jc w:val="center"/>
        <w:rPr>
          <w:color w:val="86909C"/>
          <w:sz w:val="17"/>
        </w:rPr>
      </w:pPr>
      <w:r>
        <w:rPr>
          <w:color w:val="86909C"/>
          <w:sz w:val="17"/>
        </w:rPr>
        <w:t>▲ 案件列表顶部工具栏现状：搜索、案由、筛选、列配置、刷新、新建案件挤在一行，无分组，视觉权重弱</w:t>
      </w:r>
    </w:p>
    <w:p w14:paraId="3C4496A1">
      <w:pPr>
        <w:spacing w:after="160"/>
        <w:jc w:val="center"/>
        <w:rPr>
          <w:color w:val="86909C"/>
          <w:sz w:val="17"/>
        </w:rPr>
      </w:pPr>
    </w:p>
    <w:p w14:paraId="38551AFC">
      <w:pPr>
        <w:numPr>
          <w:ilvl w:val="0"/>
          <w:numId w:val="3"/>
        </w:numPr>
        <w:rPr>
          <w:rFonts w:hint="eastAsia"/>
          <w:lang w:val="en-US" w:eastAsia="zh-CN"/>
        </w:rPr>
      </w:pPr>
      <w:r>
        <w:rPr>
          <w:rFonts w:hint="eastAsia"/>
          <w:lang w:val="en-US" w:eastAsia="zh-CN"/>
        </w:rPr>
        <w:t>临时提示固定区域；AI 提取确认条保留并改文案</w:t>
      </w:r>
    </w:p>
    <w:p w14:paraId="537F53B8">
      <w:pPr>
        <w:spacing w:after="80"/>
      </w:pPr>
      <w:r>
        <w:rPr>
          <w:b w:val="0"/>
          <w:sz w:val="21"/>
        </w:rPr>
        <w:t>现状：案件详情页顶部有一条绿色提示「材料信息与现有案件信息一致，无需更新」，右侧跟「重新提取 / 手动编辑 / ×」。「把内容区切断了、像随手放的临时消息」</w:t>
      </w:r>
    </w:p>
    <w:p w14:paraId="7D930533">
      <w:pPr>
        <w:spacing w:after="40"/>
        <w:jc w:val="center"/>
      </w:pPr>
      <w:r>
        <w:drawing>
          <wp:inline distT="0" distB="0" distL="114300" distR="114300">
            <wp:extent cx="5760720" cy="330200"/>
            <wp:effectExtent l="0" t="0" r="508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22"/>
                    <a:stretch>
                      <a:fillRect/>
                    </a:stretch>
                  </pic:blipFill>
                  <pic:spPr>
                    <a:xfrm>
                      <a:off x="0" y="0"/>
                      <a:ext cx="5760720" cy="330394"/>
                    </a:xfrm>
                    <a:prstGeom prst="rect">
                      <a:avLst/>
                    </a:prstGeom>
                  </pic:spPr>
                </pic:pic>
              </a:graphicData>
            </a:graphic>
          </wp:inline>
        </w:drawing>
      </w:r>
    </w:p>
    <w:p w14:paraId="30816F31">
      <w:pPr>
        <w:spacing w:after="160"/>
        <w:jc w:val="center"/>
      </w:pPr>
      <w:r>
        <w:rPr>
          <w:color w:val="86909C"/>
          <w:sz w:val="17"/>
        </w:rPr>
        <w:t>▲ 案件详情页顶部提示条现状：文案与业务语义不符（PM 已确认是「提取的结构化信息」），按钮小、位置切断内容区</w:t>
      </w:r>
    </w:p>
    <w:p w14:paraId="7E59ABE1">
      <w:pPr>
        <w:spacing w:after="80"/>
      </w:pPr>
      <w:r>
        <w:t>正确做法：保留为持久确认条（不能改成会自动消失的 toast——那会丢失「重新提取 / 手动编辑 / 不再提示」的入口与语义），但 ① 文案改为「AI 已从材料提取案件信息，请核对：案号 / 案由 / 当事人…」，把「AI 提取＋请你确认」说清楚；② 位置移到页头标题区内、与内容区分隔明确；③ 提取中/提取异常时变为对应状态色（解析中蓝、异常红），异常时提供重试。</w:t>
      </w:r>
    </w:p>
    <w:p w14:paraId="76E2B90F">
      <w:pPr>
        <w:spacing w:after="80"/>
        <w:rPr>
          <w:b w:val="0"/>
          <w:sz w:val="21"/>
        </w:rPr>
      </w:pPr>
      <w:r>
        <w:rPr>
          <w:b w:val="0"/>
          <w:sz w:val="21"/>
        </w:rPr>
        <w:t>其余临时消息（成功、失败、进度类）统一收到页面顶部 toast 区，禁止落在内容流中间。</w:t>
      </w:r>
    </w:p>
    <w:p w14:paraId="3ECD71BA">
      <w:pPr>
        <w:spacing w:after="80"/>
        <w:rPr>
          <w:b w:val="0"/>
          <w:sz w:val="21"/>
        </w:rPr>
      </w:pPr>
    </w:p>
    <w:p w14:paraId="5BCE2230">
      <w:pPr>
        <w:numPr>
          <w:ilvl w:val="0"/>
          <w:numId w:val="3"/>
        </w:numPr>
        <w:rPr>
          <w:rFonts w:hint="eastAsia"/>
          <w:lang w:val="en-US" w:eastAsia="zh-CN"/>
        </w:rPr>
      </w:pPr>
      <w:r>
        <w:rPr>
          <w:rFonts w:hint="eastAsia"/>
          <w:lang w:val="en-US" w:eastAsia="zh-CN"/>
        </w:rPr>
        <w:t>筛选标签体系统一</w:t>
      </w:r>
    </w:p>
    <w:p w14:paraId="5DF224E7">
      <w:pPr>
        <w:spacing w:after="80"/>
      </w:pPr>
      <w:r>
        <w:t>样式统一：所有筛选/切换标签同一套规范——加粗、统一高度、选中态明显加深；「有标题的组」全站都有标题</w:t>
      </w:r>
    </w:p>
    <w:p w14:paraId="22148649">
      <w:pPr>
        <w:spacing w:after="80"/>
      </w:pPr>
      <w:r>
        <w:t>计数并入标签：统计数字以后缀括号并入标签本身，如「全部（8）」「已提取（5）」，取代现在旁边孤零零的「共 8 个」——用户不用左右对照，也不分散注意力。</w:t>
      </w:r>
    </w:p>
    <w:p w14:paraId="38E9CF63">
      <w:pPr>
        <w:spacing w:after="40"/>
        <w:jc w:val="center"/>
      </w:pPr>
      <w:r>
        <w:drawing>
          <wp:inline distT="0" distB="0" distL="114300" distR="114300">
            <wp:extent cx="3291840" cy="502920"/>
            <wp:effectExtent l="0" t="0" r="1016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3"/>
                    <a:stretch>
                      <a:fillRect/>
                    </a:stretch>
                  </pic:blipFill>
                  <pic:spPr>
                    <a:xfrm>
                      <a:off x="0" y="0"/>
                      <a:ext cx="3291840" cy="503458"/>
                    </a:xfrm>
                    <a:prstGeom prst="rect">
                      <a:avLst/>
                    </a:prstGeom>
                  </pic:spPr>
                </pic:pic>
              </a:graphicData>
            </a:graphic>
          </wp:inline>
        </w:drawing>
      </w:r>
    </w:p>
    <w:p w14:paraId="648FD184">
      <w:pPr>
        <w:spacing w:after="160"/>
        <w:jc w:val="center"/>
        <w:rPr>
          <w:color w:val="86909C"/>
          <w:sz w:val="17"/>
        </w:rPr>
      </w:pPr>
      <w:r>
        <w:rPr>
          <w:color w:val="86909C"/>
          <w:sz w:val="17"/>
        </w:rPr>
        <w:t>▲ 知识库页标签现状：细、淡、无选中对比，统计「共 8 个」与标签分离</w:t>
      </w:r>
    </w:p>
    <w:p w14:paraId="1814A9C6">
      <w:pPr>
        <w:spacing w:after="160"/>
        <w:jc w:val="center"/>
        <w:rPr>
          <w:color w:val="86909C"/>
          <w:sz w:val="17"/>
        </w:rPr>
      </w:pPr>
    </w:p>
    <w:p w14:paraId="5E3CE02C">
      <w:pPr>
        <w:numPr>
          <w:ilvl w:val="0"/>
          <w:numId w:val="3"/>
        </w:numPr>
        <w:rPr>
          <w:rFonts w:hint="eastAsia"/>
          <w:lang w:val="en-US" w:eastAsia="zh-CN"/>
        </w:rPr>
      </w:pPr>
      <w:r>
        <w:rPr>
          <w:rFonts w:hint="eastAsia"/>
          <w:lang w:val="en-US" w:eastAsia="zh-CN"/>
        </w:rPr>
        <w:t>卡片网格响应式</w:t>
      </w:r>
    </w:p>
    <w:p w14:paraId="6E0288BF">
      <w:pPr>
        <w:spacing w:after="80"/>
        <w:rPr>
          <w:b w:val="0"/>
          <w:sz w:val="21"/>
        </w:rPr>
      </w:pPr>
      <w:r>
        <w:rPr>
          <w:b w:val="0"/>
          <w:sz w:val="21"/>
        </w:rPr>
        <w:t>规则：每类卡片设最大宽度（如 320px）与最小宽度（如 240px），容器按屏幕宽度自适应列数——大屏一行 4–5 个、中屏 3 个、小屏 2 个。解决「内容少框大」「一行 2 个浪费半屏」与「单卡漂空」两类问题。</w:t>
      </w:r>
    </w:p>
    <w:p w14:paraId="106A5A0A">
      <w:pPr>
        <w:spacing w:after="80"/>
        <w:rPr>
          <w:b w:val="0"/>
          <w:sz w:val="21"/>
        </w:rPr>
      </w:pPr>
    </w:p>
    <w:p w14:paraId="4D59E44A">
      <w:pPr>
        <w:numPr>
          <w:ilvl w:val="0"/>
          <w:numId w:val="3"/>
        </w:numPr>
        <w:rPr>
          <w:rFonts w:hint="eastAsia"/>
          <w:lang w:val="en-US" w:eastAsia="zh-CN"/>
        </w:rPr>
      </w:pPr>
      <w:r>
        <w:rPr>
          <w:rFonts w:hint="eastAsia"/>
          <w:lang w:val="en-US" w:eastAsia="zh-CN"/>
        </w:rPr>
        <w:t>文档列表样式对齐飞书</w:t>
      </w:r>
    </w:p>
    <w:p w14:paraId="1633A152">
      <w:pPr>
        <w:spacing w:after="80"/>
        <w:rPr>
          <w:b w:val="0"/>
          <w:sz w:val="21"/>
        </w:rPr>
      </w:pPr>
      <w:r>
        <w:rPr>
          <w:b w:val="0"/>
          <w:sz w:val="21"/>
        </w:rPr>
        <w:t>历史文书、全部文书等文档列表，参考飞书云文档：类型图标＋完整标题（加大、深色、不截断关键字）＋辅助行（案号·日期·淡色）＋状态徽标。现状标题截断成「（2026）苏05民终5555号…」，四份文书标题几乎一样，法官无法区分——建议标题放文书名＋版本/生成时间，把案号挪到辅助行，并给出行内 hover 底色。</w:t>
      </w:r>
    </w:p>
    <w:p w14:paraId="3D43699D">
      <w:pPr>
        <w:spacing w:after="80"/>
        <w:rPr>
          <w:b w:val="0"/>
          <w:sz w:val="21"/>
        </w:rPr>
      </w:pPr>
    </w:p>
    <w:p w14:paraId="48F1F577">
      <w:pPr>
        <w:pStyle w:val="4"/>
        <w:numPr>
          <w:numId w:val="0"/>
        </w:numPr>
        <w:spacing w:after="60"/>
        <w:ind w:leftChars="0"/>
      </w:pPr>
    </w:p>
    <w:p w14:paraId="3B6CB11A">
      <w:pPr>
        <w:pStyle w:val="4"/>
        <w:numPr>
          <w:numId w:val="0"/>
        </w:numPr>
        <w:spacing w:after="60"/>
        <w:ind w:leftChars="0"/>
      </w:pPr>
    </w:p>
    <w:p w14:paraId="7979D93F">
      <w:pPr>
        <w:numPr>
          <w:numId w:val="0"/>
        </w:numPr>
        <w:ind w:leftChars="0"/>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A49ACE"/>
    <w:multiLevelType w:val="singleLevel"/>
    <w:tmpl w:val="D8A49ACE"/>
    <w:lvl w:ilvl="0" w:tentative="0">
      <w:start w:val="1"/>
      <w:numFmt w:val="decimal"/>
      <w:lvlText w:val="%1."/>
      <w:lvlJc w:val="left"/>
      <w:pPr>
        <w:ind w:left="425" w:hanging="425"/>
      </w:pPr>
      <w:rPr>
        <w:rFonts w:hint="default"/>
      </w:rPr>
    </w:lvl>
  </w:abstractNum>
  <w:abstractNum w:abstractNumId="1">
    <w:nsid w:val="E22BDBD8"/>
    <w:multiLevelType w:val="singleLevel"/>
    <w:tmpl w:val="E22BDBD8"/>
    <w:lvl w:ilvl="0" w:tentative="0">
      <w:start w:val="1"/>
      <w:numFmt w:val="decimal"/>
      <w:lvlText w:val="%1."/>
      <w:lvlJc w:val="left"/>
      <w:pPr>
        <w:tabs>
          <w:tab w:val="left" w:pos="312"/>
        </w:tabs>
      </w:pPr>
    </w:lvl>
  </w:abstractNum>
  <w:abstractNum w:abstractNumId="2">
    <w:nsid w:val="E96CC7B6"/>
    <w:multiLevelType w:val="singleLevel"/>
    <w:tmpl w:val="E96CC7B6"/>
    <w:lvl w:ilvl="0" w:tentative="0">
      <w:start w:val="1"/>
      <w:numFmt w:val="bullet"/>
      <w:pStyle w:val="4"/>
      <w:lvlText w:val=""/>
      <w:lvlJc w:val="left"/>
      <w:pPr>
        <w:tabs>
          <w:tab w:val="left" w:pos="360"/>
        </w:tabs>
        <w:ind w:left="360"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03E66"/>
    <w:rsid w:val="01802E2D"/>
    <w:rsid w:val="01BD356E"/>
    <w:rsid w:val="023528B8"/>
    <w:rsid w:val="025628A5"/>
    <w:rsid w:val="03483AD9"/>
    <w:rsid w:val="03815EB3"/>
    <w:rsid w:val="04382A59"/>
    <w:rsid w:val="046E1BE1"/>
    <w:rsid w:val="04EE6D4E"/>
    <w:rsid w:val="053B48F7"/>
    <w:rsid w:val="053B5D71"/>
    <w:rsid w:val="059527FB"/>
    <w:rsid w:val="06286333"/>
    <w:rsid w:val="063551D4"/>
    <w:rsid w:val="06800C7D"/>
    <w:rsid w:val="068226AD"/>
    <w:rsid w:val="06C914FD"/>
    <w:rsid w:val="06EF4CA3"/>
    <w:rsid w:val="07197442"/>
    <w:rsid w:val="072E4276"/>
    <w:rsid w:val="0741587F"/>
    <w:rsid w:val="07470431"/>
    <w:rsid w:val="07613A9C"/>
    <w:rsid w:val="07847544"/>
    <w:rsid w:val="07AF14F8"/>
    <w:rsid w:val="07BF15A0"/>
    <w:rsid w:val="07C71ABD"/>
    <w:rsid w:val="080A0572"/>
    <w:rsid w:val="081A2220"/>
    <w:rsid w:val="084E5EF9"/>
    <w:rsid w:val="08704E07"/>
    <w:rsid w:val="08745A23"/>
    <w:rsid w:val="08BF42FF"/>
    <w:rsid w:val="08C5184A"/>
    <w:rsid w:val="08D67602"/>
    <w:rsid w:val="09E23C71"/>
    <w:rsid w:val="09F25947"/>
    <w:rsid w:val="0A097F05"/>
    <w:rsid w:val="0A2D40A6"/>
    <w:rsid w:val="0A322689"/>
    <w:rsid w:val="0A6B0894"/>
    <w:rsid w:val="0AF95DA9"/>
    <w:rsid w:val="0BDF1960"/>
    <w:rsid w:val="0C2177AE"/>
    <w:rsid w:val="0CF542E7"/>
    <w:rsid w:val="0D132481"/>
    <w:rsid w:val="0D2B1EA6"/>
    <w:rsid w:val="0D3143DE"/>
    <w:rsid w:val="0D516843"/>
    <w:rsid w:val="0DD352CB"/>
    <w:rsid w:val="0E05736A"/>
    <w:rsid w:val="0E4A4144"/>
    <w:rsid w:val="0EF93B10"/>
    <w:rsid w:val="0F3219FE"/>
    <w:rsid w:val="0FAE39F8"/>
    <w:rsid w:val="103D45C8"/>
    <w:rsid w:val="10A374F4"/>
    <w:rsid w:val="11216EF2"/>
    <w:rsid w:val="112B0E50"/>
    <w:rsid w:val="118A3904"/>
    <w:rsid w:val="11D945D7"/>
    <w:rsid w:val="11EF1FF2"/>
    <w:rsid w:val="11F43FA6"/>
    <w:rsid w:val="122A0FBC"/>
    <w:rsid w:val="12346D91"/>
    <w:rsid w:val="12593360"/>
    <w:rsid w:val="12611775"/>
    <w:rsid w:val="12A621DF"/>
    <w:rsid w:val="12A66718"/>
    <w:rsid w:val="12B15624"/>
    <w:rsid w:val="12EF08DD"/>
    <w:rsid w:val="131D7097"/>
    <w:rsid w:val="13AF16C4"/>
    <w:rsid w:val="14100109"/>
    <w:rsid w:val="14516F02"/>
    <w:rsid w:val="145438A4"/>
    <w:rsid w:val="14594134"/>
    <w:rsid w:val="145C7AAC"/>
    <w:rsid w:val="151D08CD"/>
    <w:rsid w:val="1553639D"/>
    <w:rsid w:val="15624480"/>
    <w:rsid w:val="15F83838"/>
    <w:rsid w:val="16333D30"/>
    <w:rsid w:val="171747DD"/>
    <w:rsid w:val="17373A24"/>
    <w:rsid w:val="176A6E65"/>
    <w:rsid w:val="17AD2EBF"/>
    <w:rsid w:val="183146B4"/>
    <w:rsid w:val="184C765B"/>
    <w:rsid w:val="19107524"/>
    <w:rsid w:val="19421A88"/>
    <w:rsid w:val="1A146C1D"/>
    <w:rsid w:val="1A167F99"/>
    <w:rsid w:val="1A477A45"/>
    <w:rsid w:val="1A6444F8"/>
    <w:rsid w:val="1AAD43DF"/>
    <w:rsid w:val="1B255954"/>
    <w:rsid w:val="1B5411CA"/>
    <w:rsid w:val="1B636093"/>
    <w:rsid w:val="1BD520DD"/>
    <w:rsid w:val="1BDF39E2"/>
    <w:rsid w:val="1C2379C8"/>
    <w:rsid w:val="1C351AFF"/>
    <w:rsid w:val="1C3C7825"/>
    <w:rsid w:val="1D3A37E1"/>
    <w:rsid w:val="1D6F1B69"/>
    <w:rsid w:val="1D79710A"/>
    <w:rsid w:val="1DBF479E"/>
    <w:rsid w:val="1DC55E2B"/>
    <w:rsid w:val="1E2A1E75"/>
    <w:rsid w:val="1E5B26BF"/>
    <w:rsid w:val="1E623862"/>
    <w:rsid w:val="1EEE7B31"/>
    <w:rsid w:val="1F102B32"/>
    <w:rsid w:val="1FA31200"/>
    <w:rsid w:val="1FE47047"/>
    <w:rsid w:val="1FFB7878"/>
    <w:rsid w:val="20096AA5"/>
    <w:rsid w:val="207143B1"/>
    <w:rsid w:val="20812713"/>
    <w:rsid w:val="20886659"/>
    <w:rsid w:val="20A657DB"/>
    <w:rsid w:val="213E5641"/>
    <w:rsid w:val="213F26B7"/>
    <w:rsid w:val="218D08A2"/>
    <w:rsid w:val="21984563"/>
    <w:rsid w:val="21E43E60"/>
    <w:rsid w:val="21E67C8C"/>
    <w:rsid w:val="21EE0346"/>
    <w:rsid w:val="22AE45E6"/>
    <w:rsid w:val="22B10F17"/>
    <w:rsid w:val="23667472"/>
    <w:rsid w:val="248F117A"/>
    <w:rsid w:val="24DC0B9E"/>
    <w:rsid w:val="258F3D83"/>
    <w:rsid w:val="25EF497E"/>
    <w:rsid w:val="2655591E"/>
    <w:rsid w:val="26E0224E"/>
    <w:rsid w:val="2700510C"/>
    <w:rsid w:val="27320063"/>
    <w:rsid w:val="279E1F18"/>
    <w:rsid w:val="27A2580A"/>
    <w:rsid w:val="27CE0F9C"/>
    <w:rsid w:val="288B0E4F"/>
    <w:rsid w:val="289F1C80"/>
    <w:rsid w:val="28C40D88"/>
    <w:rsid w:val="28CA47CF"/>
    <w:rsid w:val="28DA33D8"/>
    <w:rsid w:val="290403DC"/>
    <w:rsid w:val="29145532"/>
    <w:rsid w:val="29751670"/>
    <w:rsid w:val="2991766A"/>
    <w:rsid w:val="29A9064A"/>
    <w:rsid w:val="29C75642"/>
    <w:rsid w:val="29C95685"/>
    <w:rsid w:val="29D106EB"/>
    <w:rsid w:val="29E048B4"/>
    <w:rsid w:val="29F471B5"/>
    <w:rsid w:val="2A5F2666"/>
    <w:rsid w:val="2A736BEB"/>
    <w:rsid w:val="2AC94CB7"/>
    <w:rsid w:val="2ACC161A"/>
    <w:rsid w:val="2ADF0543"/>
    <w:rsid w:val="2AF474DC"/>
    <w:rsid w:val="2BDD7EB3"/>
    <w:rsid w:val="2BF96EE2"/>
    <w:rsid w:val="2C7D1D3E"/>
    <w:rsid w:val="2C7E5EB0"/>
    <w:rsid w:val="2CD128BB"/>
    <w:rsid w:val="2D5A4D53"/>
    <w:rsid w:val="2D8D4A9E"/>
    <w:rsid w:val="2DE46ECA"/>
    <w:rsid w:val="2DFA202C"/>
    <w:rsid w:val="2E774BE9"/>
    <w:rsid w:val="2EFE667F"/>
    <w:rsid w:val="2F2C42E7"/>
    <w:rsid w:val="2F2E6369"/>
    <w:rsid w:val="2F567949"/>
    <w:rsid w:val="2F595268"/>
    <w:rsid w:val="2FAF001B"/>
    <w:rsid w:val="306A3A69"/>
    <w:rsid w:val="30720AC8"/>
    <w:rsid w:val="30F716E7"/>
    <w:rsid w:val="316722C5"/>
    <w:rsid w:val="31EF332C"/>
    <w:rsid w:val="320203C7"/>
    <w:rsid w:val="32A517CB"/>
    <w:rsid w:val="32C07775"/>
    <w:rsid w:val="333B22BA"/>
    <w:rsid w:val="33551E6F"/>
    <w:rsid w:val="335A6287"/>
    <w:rsid w:val="33CC0AB2"/>
    <w:rsid w:val="33D370EE"/>
    <w:rsid w:val="346F0B99"/>
    <w:rsid w:val="34774CF8"/>
    <w:rsid w:val="35051F35"/>
    <w:rsid w:val="35060B8D"/>
    <w:rsid w:val="351E65A4"/>
    <w:rsid w:val="35565043"/>
    <w:rsid w:val="3585213F"/>
    <w:rsid w:val="359A200B"/>
    <w:rsid w:val="35B26D55"/>
    <w:rsid w:val="35D97CCD"/>
    <w:rsid w:val="36585684"/>
    <w:rsid w:val="36E13C7D"/>
    <w:rsid w:val="374F794C"/>
    <w:rsid w:val="37703E85"/>
    <w:rsid w:val="379508B3"/>
    <w:rsid w:val="38286C42"/>
    <w:rsid w:val="38330E4B"/>
    <w:rsid w:val="38466073"/>
    <w:rsid w:val="38512202"/>
    <w:rsid w:val="38BA62EA"/>
    <w:rsid w:val="38C876EB"/>
    <w:rsid w:val="390C240C"/>
    <w:rsid w:val="39916A1E"/>
    <w:rsid w:val="3A0C47AD"/>
    <w:rsid w:val="3A866059"/>
    <w:rsid w:val="3AD94D83"/>
    <w:rsid w:val="3AE32434"/>
    <w:rsid w:val="3AE5675A"/>
    <w:rsid w:val="3B383B0D"/>
    <w:rsid w:val="3B39674F"/>
    <w:rsid w:val="3B490040"/>
    <w:rsid w:val="3B926055"/>
    <w:rsid w:val="3BA42D96"/>
    <w:rsid w:val="3BA909C4"/>
    <w:rsid w:val="3BD91A23"/>
    <w:rsid w:val="3BFA0385"/>
    <w:rsid w:val="3C053E66"/>
    <w:rsid w:val="3C4A5350"/>
    <w:rsid w:val="3C6F3783"/>
    <w:rsid w:val="3CE15AE0"/>
    <w:rsid w:val="3DDF07B5"/>
    <w:rsid w:val="3E2556DD"/>
    <w:rsid w:val="3E486383"/>
    <w:rsid w:val="3E4B6F8B"/>
    <w:rsid w:val="3EFD745E"/>
    <w:rsid w:val="3F1A4DEF"/>
    <w:rsid w:val="3F3208AC"/>
    <w:rsid w:val="40A53C93"/>
    <w:rsid w:val="413E2668"/>
    <w:rsid w:val="41C94BFF"/>
    <w:rsid w:val="42921E94"/>
    <w:rsid w:val="42DB1BA2"/>
    <w:rsid w:val="430C07BF"/>
    <w:rsid w:val="4317465B"/>
    <w:rsid w:val="434F77BF"/>
    <w:rsid w:val="442D0A12"/>
    <w:rsid w:val="44346F55"/>
    <w:rsid w:val="444D41A8"/>
    <w:rsid w:val="44543ECA"/>
    <w:rsid w:val="44BC3F1C"/>
    <w:rsid w:val="45001953"/>
    <w:rsid w:val="45656A97"/>
    <w:rsid w:val="46010723"/>
    <w:rsid w:val="462C67A8"/>
    <w:rsid w:val="46B24EC0"/>
    <w:rsid w:val="475E2634"/>
    <w:rsid w:val="47960D14"/>
    <w:rsid w:val="47A640F8"/>
    <w:rsid w:val="47FC1CB2"/>
    <w:rsid w:val="482D0615"/>
    <w:rsid w:val="483875FA"/>
    <w:rsid w:val="4877026A"/>
    <w:rsid w:val="48926877"/>
    <w:rsid w:val="48AC768E"/>
    <w:rsid w:val="49A243D5"/>
    <w:rsid w:val="49C00DD3"/>
    <w:rsid w:val="49EE097D"/>
    <w:rsid w:val="49F97D8D"/>
    <w:rsid w:val="4A2E5DBC"/>
    <w:rsid w:val="4A7F3DAD"/>
    <w:rsid w:val="4B073E46"/>
    <w:rsid w:val="4B2D7CD9"/>
    <w:rsid w:val="4B56731C"/>
    <w:rsid w:val="4B66154C"/>
    <w:rsid w:val="4B6C185B"/>
    <w:rsid w:val="4B8C47D9"/>
    <w:rsid w:val="4BBB0FE1"/>
    <w:rsid w:val="4C345FFB"/>
    <w:rsid w:val="4D3C2A79"/>
    <w:rsid w:val="4E03749D"/>
    <w:rsid w:val="4E8126CD"/>
    <w:rsid w:val="4EF432BD"/>
    <w:rsid w:val="4F3D7E5D"/>
    <w:rsid w:val="4F5B27E9"/>
    <w:rsid w:val="4F633DD2"/>
    <w:rsid w:val="4FE769E0"/>
    <w:rsid w:val="4FEF1147"/>
    <w:rsid w:val="504C44D9"/>
    <w:rsid w:val="505675BE"/>
    <w:rsid w:val="50D639F9"/>
    <w:rsid w:val="50E52362"/>
    <w:rsid w:val="51134209"/>
    <w:rsid w:val="511C537C"/>
    <w:rsid w:val="520838F8"/>
    <w:rsid w:val="52AB19F7"/>
    <w:rsid w:val="52C9346A"/>
    <w:rsid w:val="52FD0D63"/>
    <w:rsid w:val="534B4CA8"/>
    <w:rsid w:val="53974856"/>
    <w:rsid w:val="54336227"/>
    <w:rsid w:val="543C1DF5"/>
    <w:rsid w:val="54C13473"/>
    <w:rsid w:val="54E10FCC"/>
    <w:rsid w:val="55102C96"/>
    <w:rsid w:val="55172D67"/>
    <w:rsid w:val="55511BA5"/>
    <w:rsid w:val="556F72B3"/>
    <w:rsid w:val="55BA3947"/>
    <w:rsid w:val="55C67887"/>
    <w:rsid w:val="56146E96"/>
    <w:rsid w:val="563B16DD"/>
    <w:rsid w:val="569F363A"/>
    <w:rsid w:val="56EC6580"/>
    <w:rsid w:val="573D4F8A"/>
    <w:rsid w:val="577D0A97"/>
    <w:rsid w:val="57961A67"/>
    <w:rsid w:val="57EA1C1F"/>
    <w:rsid w:val="57F91709"/>
    <w:rsid w:val="58080AE0"/>
    <w:rsid w:val="587B0416"/>
    <w:rsid w:val="58E438A4"/>
    <w:rsid w:val="58F37FE9"/>
    <w:rsid w:val="594C552D"/>
    <w:rsid w:val="599B0B5A"/>
    <w:rsid w:val="59DF5AAE"/>
    <w:rsid w:val="5A2150ED"/>
    <w:rsid w:val="5A5E3672"/>
    <w:rsid w:val="5A7E0D9F"/>
    <w:rsid w:val="5AB76F00"/>
    <w:rsid w:val="5B0A2025"/>
    <w:rsid w:val="5B181EB1"/>
    <w:rsid w:val="5B4005EB"/>
    <w:rsid w:val="5B4D7F26"/>
    <w:rsid w:val="5B8C4560"/>
    <w:rsid w:val="5BD25FA8"/>
    <w:rsid w:val="5C1E4849"/>
    <w:rsid w:val="5C212FDA"/>
    <w:rsid w:val="5C2A7C3F"/>
    <w:rsid w:val="5CB55E0E"/>
    <w:rsid w:val="5CDC5573"/>
    <w:rsid w:val="5CF0189D"/>
    <w:rsid w:val="5D326228"/>
    <w:rsid w:val="5DA27065"/>
    <w:rsid w:val="5DC90D03"/>
    <w:rsid w:val="5DDE3EFA"/>
    <w:rsid w:val="5DE473F3"/>
    <w:rsid w:val="5DF429AA"/>
    <w:rsid w:val="5E7701D8"/>
    <w:rsid w:val="5E981B64"/>
    <w:rsid w:val="5F4F7F06"/>
    <w:rsid w:val="5F630362"/>
    <w:rsid w:val="5FF01644"/>
    <w:rsid w:val="606D5181"/>
    <w:rsid w:val="608F425E"/>
    <w:rsid w:val="60A361E3"/>
    <w:rsid w:val="61573CED"/>
    <w:rsid w:val="616A412C"/>
    <w:rsid w:val="619F0743"/>
    <w:rsid w:val="62283010"/>
    <w:rsid w:val="623D0AC8"/>
    <w:rsid w:val="62780DF4"/>
    <w:rsid w:val="63661915"/>
    <w:rsid w:val="63BF6089"/>
    <w:rsid w:val="63F5732C"/>
    <w:rsid w:val="643D2BEA"/>
    <w:rsid w:val="646E0FF2"/>
    <w:rsid w:val="64A40E43"/>
    <w:rsid w:val="65243B93"/>
    <w:rsid w:val="65855957"/>
    <w:rsid w:val="65A87376"/>
    <w:rsid w:val="660C0EED"/>
    <w:rsid w:val="665F5C36"/>
    <w:rsid w:val="668F11D8"/>
    <w:rsid w:val="67066E9D"/>
    <w:rsid w:val="670A3463"/>
    <w:rsid w:val="670C5972"/>
    <w:rsid w:val="686601B1"/>
    <w:rsid w:val="688B4A8B"/>
    <w:rsid w:val="68FA1C04"/>
    <w:rsid w:val="692537E9"/>
    <w:rsid w:val="693C17E7"/>
    <w:rsid w:val="69BE1C72"/>
    <w:rsid w:val="69F73D53"/>
    <w:rsid w:val="6A47457F"/>
    <w:rsid w:val="6A8C7B4B"/>
    <w:rsid w:val="6AA11F2A"/>
    <w:rsid w:val="6AC17F2F"/>
    <w:rsid w:val="6AF677A5"/>
    <w:rsid w:val="6AFE68CD"/>
    <w:rsid w:val="6B986AD7"/>
    <w:rsid w:val="6B9E67F6"/>
    <w:rsid w:val="6BCA38CF"/>
    <w:rsid w:val="6C014AA8"/>
    <w:rsid w:val="6C4A067F"/>
    <w:rsid w:val="6C4B7653"/>
    <w:rsid w:val="6CA739E4"/>
    <w:rsid w:val="6D6642E7"/>
    <w:rsid w:val="6DCF1F17"/>
    <w:rsid w:val="6DE1136A"/>
    <w:rsid w:val="6E234565"/>
    <w:rsid w:val="6E983A45"/>
    <w:rsid w:val="6EE0613A"/>
    <w:rsid w:val="6EEB1A70"/>
    <w:rsid w:val="6F7D725D"/>
    <w:rsid w:val="6FA9247B"/>
    <w:rsid w:val="6FC67D87"/>
    <w:rsid w:val="70325E39"/>
    <w:rsid w:val="706000EB"/>
    <w:rsid w:val="70B12A9C"/>
    <w:rsid w:val="70ED6A2E"/>
    <w:rsid w:val="71066488"/>
    <w:rsid w:val="714473B2"/>
    <w:rsid w:val="71513F2D"/>
    <w:rsid w:val="71A430F9"/>
    <w:rsid w:val="7205491C"/>
    <w:rsid w:val="7228211B"/>
    <w:rsid w:val="722D7C30"/>
    <w:rsid w:val="72C37AEA"/>
    <w:rsid w:val="72DB15E2"/>
    <w:rsid w:val="72E81E88"/>
    <w:rsid w:val="730E405B"/>
    <w:rsid w:val="735041AA"/>
    <w:rsid w:val="7376438C"/>
    <w:rsid w:val="737F77B4"/>
    <w:rsid w:val="73A61A7B"/>
    <w:rsid w:val="7471646C"/>
    <w:rsid w:val="747D7E58"/>
    <w:rsid w:val="74A077D5"/>
    <w:rsid w:val="74D345B8"/>
    <w:rsid w:val="74D51A78"/>
    <w:rsid w:val="75326C17"/>
    <w:rsid w:val="757D7639"/>
    <w:rsid w:val="75A21CDF"/>
    <w:rsid w:val="75D066A8"/>
    <w:rsid w:val="7627469A"/>
    <w:rsid w:val="762962D5"/>
    <w:rsid w:val="764A73B7"/>
    <w:rsid w:val="76A42EE2"/>
    <w:rsid w:val="77F04742"/>
    <w:rsid w:val="78276D14"/>
    <w:rsid w:val="7854348C"/>
    <w:rsid w:val="79192DF9"/>
    <w:rsid w:val="796922C5"/>
    <w:rsid w:val="798E17BA"/>
    <w:rsid w:val="79CA2242"/>
    <w:rsid w:val="79DB60FA"/>
    <w:rsid w:val="7A520566"/>
    <w:rsid w:val="7A5257D8"/>
    <w:rsid w:val="7A583304"/>
    <w:rsid w:val="7BEA1ADC"/>
    <w:rsid w:val="7C010412"/>
    <w:rsid w:val="7C161770"/>
    <w:rsid w:val="7C7D1B65"/>
    <w:rsid w:val="7CA7457D"/>
    <w:rsid w:val="7CBE2E0F"/>
    <w:rsid w:val="7CC03B8D"/>
    <w:rsid w:val="7D1A0772"/>
    <w:rsid w:val="7D1B13C9"/>
    <w:rsid w:val="7E1662F5"/>
    <w:rsid w:val="7E180201"/>
    <w:rsid w:val="7E496EC7"/>
    <w:rsid w:val="7E4B66F9"/>
    <w:rsid w:val="7ED85D09"/>
    <w:rsid w:val="7EFF4EC7"/>
    <w:rsid w:val="7FC25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280" w:after="120"/>
      <w:outlineLvl w:val="0"/>
    </w:pPr>
    <w:rPr>
      <w:rFonts w:asciiTheme="majorHAnsi" w:hAnsiTheme="majorHAnsi" w:eastAsiaTheme="majorEastAsia" w:cstheme="majorBidi"/>
      <w:b/>
      <w:bCs/>
      <w:color w:val="2563EB"/>
      <w:sz w:val="32"/>
      <w:szCs w:val="28"/>
    </w:rPr>
  </w:style>
  <w:style w:type="paragraph" w:styleId="3">
    <w:name w:val="heading 2"/>
    <w:basedOn w:val="1"/>
    <w:next w:val="1"/>
    <w:unhideWhenUsed/>
    <w:qFormat/>
    <w:uiPriority w:val="9"/>
    <w:pPr>
      <w:keepNext/>
      <w:keepLines/>
      <w:spacing w:before="200" w:after="120"/>
      <w:outlineLvl w:val="1"/>
    </w:pPr>
    <w:rPr>
      <w:rFonts w:asciiTheme="majorHAnsi" w:hAnsiTheme="majorHAnsi" w:eastAsiaTheme="majorEastAsia" w:cstheme="majorBidi"/>
      <w:b/>
      <w:bCs/>
      <w:color w:val="1F2329"/>
      <w:sz w:val="26"/>
      <w:szCs w:val="2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List Bullet"/>
    <w:basedOn w:val="1"/>
    <w:uiPriority w:val="0"/>
    <w:pPr>
      <w:numPr>
        <w:ilvl w:val="0"/>
        <w:numId w:val="1"/>
      </w:numPr>
    </w:p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6</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2025-11-18T08:56:00Z</dcterms:created>
  <dc:creator>tianwen</dc:creator>
  <cp:lastModifiedBy>郝律师</cp:lastModifiedBy>
  <dcterms:modified xsi:type="dcterms:W3CDTF">2026-09-24T07:10:06Z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A94B595081C1447FAFB647F13878088C_12</vt:lpwstr>
  </property>
  <property fmtid="{D5CDD505-2E9C-101B-9397-08002B2CF9AE}" pid="4" name="KSOTemplateDocerSaveRecord">
    <vt:lpwstr>eyJoZGlkIjoiMzc5ZDgyN2I3ZjYzYWFiNzNhNjZmMDg0YmFmZDI4YzMiLCJ1c2VySWQiOiI0NzExNzY3MzMifQ==</vt:lpwstr>
  </property>
</Properties>
</file>