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u w:val="single"/>
        </w:rPr>
        <w:t>MAGLUMI 800</w:t>
      </w:r>
    </w:p>
    <w:tbl>
      <w:tblPr>
        <w:tblStyle w:val="a3"/>
        <w:bidiVisual w:val="true"/>
        <w:tblW w:w="9180" w:type="dxa"/>
        <w:jc w:val="left"/>
        <w:tblInd w:w="-65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918"/>
        <w:gridCol w:w="4261"/>
      </w:tblGrid>
      <w:tr>
        <w:trPr/>
        <w:tc>
          <w:tcPr>
            <w:tcW w:w="4918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Normal : 200-1100pg/ml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highlight w:val="dark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highlight w:val="darkYellow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 xml:space="preserve">Vitamin B12 deficiency  </w:t>
            </w:r>
            <w:r>
              <w:rPr>
                <w:rFonts w:eastAsia="Wingdings" w:cs="Wingdings" w:ascii="Wingdings" w:hAnsi="Wingdings"/>
                <w:b/>
                <w:bCs/>
                <w:highlight w:val="darkYellow"/>
              </w:rPr>
              <w:t></w:t>
            </w: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 xml:space="preserve"> 200 pg/ml.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highlight w:val="dark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highlight w:val="darkYellow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highlight w:val="dark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highlight w:val="darkYellow"/>
              </w:rPr>
            </w:r>
          </w:p>
        </w:tc>
        <w:tc>
          <w:tcPr>
            <w:tcW w:w="4261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highlight w:val="darkYellow"/>
              </w:rPr>
            </w:pPr>
            <w:r>
              <w:rPr>
                <w:rFonts w:cs="Times New Roman" w:cstheme="majorBidi" w:ascii="Times New Roman" w:hAnsi="Times New Roman"/>
                <w:highlight w:val="darkYellow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highlight w:val="darkYellow"/>
              </w:rPr>
            </w:pPr>
            <w:r>
              <w:rPr>
                <w:rFonts w:cs="Times New Roman" w:cstheme="majorBidi" w:ascii="Times New Roman" w:hAnsi="Times New Roman"/>
                <w:highlight w:val="darkYellow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Vitamin B12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highlight w:val="darkYellow"/>
              </w:rPr>
            </w:pPr>
            <w:r>
              <w:rPr>
                <w:rFonts w:cs="Times New Roman" w:cstheme="majorBidi" w:ascii="Times New Roman" w:hAnsi="Times New Roman"/>
                <w:highlight w:val="darkYellow"/>
              </w:rPr>
            </w:r>
          </w:p>
        </w:tc>
      </w:tr>
      <w:tr>
        <w:trPr/>
        <w:tc>
          <w:tcPr>
            <w:tcW w:w="4918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 xml:space="preserve">Deficiency : </w:t>
            </w:r>
            <w:r>
              <w:rPr>
                <w:rFonts w:eastAsia="Wingdings" w:cs="Wingdings" w:ascii="Wingdings" w:hAnsi="Wingdings"/>
                <w:b/>
                <w:bCs/>
                <w:highlight w:val="darkYellow"/>
              </w:rPr>
              <w:t></w:t>
            </w: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10 ng/mL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Insufficiency : 10 – 29 ng/mL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Sufficiency : 30 – 100 ng/mL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 xml:space="preserve">Toxicity : </w:t>
            </w:r>
            <w:r>
              <w:rPr>
                <w:rFonts w:eastAsia="Wingdings" w:cs="Wingdings" w:ascii="Wingdings" w:hAnsi="Wingdings"/>
                <w:b/>
                <w:bCs/>
                <w:highlight w:val="darkYellow"/>
              </w:rPr>
              <w:t></w:t>
            </w: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100 ng/mL</w:t>
            </w:r>
          </w:p>
        </w:tc>
        <w:tc>
          <w:tcPr>
            <w:tcW w:w="4261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highlight w:val="dark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highlight w:val="darkYellow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25-OH Vitamin D</w:t>
            </w:r>
          </w:p>
        </w:tc>
      </w:tr>
      <w:tr>
        <w:trPr/>
        <w:tc>
          <w:tcPr>
            <w:tcW w:w="4918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Normal: 52-127 ng/ml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highlight w:val="darkYellow"/>
              </w:rPr>
            </w:pPr>
            <w:r>
              <w:rPr>
                <w:rFonts w:cs="Times New Roman" w:cstheme="majorBidi" w:ascii="Times New Roman" w:hAnsi="Times New Roman"/>
                <w:highlight w:val="darkYellow"/>
              </w:rPr>
            </w:r>
          </w:p>
        </w:tc>
        <w:tc>
          <w:tcPr>
            <w:tcW w:w="4261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T4</w:t>
            </w:r>
          </w:p>
        </w:tc>
      </w:tr>
      <w:tr>
        <w:trPr/>
        <w:tc>
          <w:tcPr>
            <w:tcW w:w="4918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Normal:8.9-17.2pg/ml.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highlight w:val="dark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highlight w:val="darkYellow"/>
              </w:rPr>
            </w:r>
          </w:p>
        </w:tc>
        <w:tc>
          <w:tcPr>
            <w:tcW w:w="4261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FT4</w:t>
            </w:r>
          </w:p>
        </w:tc>
      </w:tr>
      <w:tr>
        <w:trPr/>
        <w:tc>
          <w:tcPr>
            <w:tcW w:w="4918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Normal</w:t>
            </w:r>
            <w:r>
              <w:rPr>
                <w:rFonts w:ascii="Times New Roman" w:hAnsi="Times New Roman" w:cs="Times New Roman" w:eastAsia="MS Gothic" w:asciiTheme="majorBidi" w:cstheme="majorBidi" w:hAnsiTheme="majorBidi"/>
                <w:b/>
                <w:bCs/>
                <w:highlight w:val="darkYellow"/>
              </w:rPr>
              <w:t>：</w:t>
            </w: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0.3-4.5 µIU/ml.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highlight w:val="darkYellow"/>
              </w:rPr>
            </w:pPr>
            <w:r>
              <w:rPr>
                <w:rFonts w:cs="Times New Roman" w:cstheme="majorBidi" w:ascii="Times New Roman" w:hAnsi="Times New Roman"/>
                <w:highlight w:val="darkYellow"/>
              </w:rPr>
            </w:r>
          </w:p>
        </w:tc>
        <w:tc>
          <w:tcPr>
            <w:tcW w:w="4261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TSH</w:t>
            </w:r>
          </w:p>
        </w:tc>
      </w:tr>
      <w:tr>
        <w:trPr/>
        <w:tc>
          <w:tcPr>
            <w:tcW w:w="4918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 xml:space="preserve">Normal: 0.69-2.15ng/ml </w:t>
            </w:r>
          </w:p>
        </w:tc>
        <w:tc>
          <w:tcPr>
            <w:tcW w:w="4261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T3</w:t>
            </w:r>
          </w:p>
        </w:tc>
      </w:tr>
      <w:tr>
        <w:trPr>
          <w:trHeight w:val="326" w:hRule="atLeast"/>
        </w:trPr>
        <w:tc>
          <w:tcPr>
            <w:tcW w:w="4918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Normal: 2.0 – 4.2 pg/ml</w:t>
            </w:r>
          </w:p>
        </w:tc>
        <w:tc>
          <w:tcPr>
            <w:tcW w:w="4261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FT3</w:t>
            </w:r>
          </w:p>
        </w:tc>
      </w:tr>
      <w:tr>
        <w:trPr/>
        <w:tc>
          <w:tcPr>
            <w:tcW w:w="4918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Men: 1.1 - 25mIU/ml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 xml:space="preserve">Women: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 xml:space="preserve">follicular phase 1.2-12.5mIU/ml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ovulatory phase 12-82mIU/ml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 xml:space="preserve">Postmenopause : 0.4-19mIU/ml </w:t>
            </w:r>
          </w:p>
        </w:tc>
        <w:tc>
          <w:tcPr>
            <w:tcW w:w="4261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LH</w:t>
            </w:r>
          </w:p>
        </w:tc>
      </w:tr>
      <w:tr>
        <w:trPr/>
        <w:tc>
          <w:tcPr>
            <w:tcW w:w="4918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Male</w:t>
            </w:r>
            <w:r>
              <w:rPr>
                <w:rFonts w:ascii="Times New Roman" w:hAnsi="Times New Roman" w:cs="Times New Roman" w:eastAsia="MS Gothic" w:asciiTheme="majorBidi" w:cstheme="majorBidi" w:hAnsiTheme="majorBidi"/>
                <w:b/>
                <w:bCs/>
                <w:highlight w:val="darkYellow"/>
              </w:rPr>
              <w:t>：</w:t>
            </w: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 xml:space="preserve">1.5-11.8mIU/ml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Female</w:t>
            </w:r>
            <w:r>
              <w:rPr>
                <w:rFonts w:ascii="Times New Roman" w:hAnsi="Times New Roman" w:cs="Times New Roman" w:eastAsia="MS Gothic" w:asciiTheme="majorBidi" w:cstheme="majorBidi" w:hAnsiTheme="majorBidi"/>
                <w:b/>
                <w:bCs/>
                <w:highlight w:val="darkYellow"/>
              </w:rPr>
              <w:t>：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 xml:space="preserve">Follicular phase 3.2-15mIU/ml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 xml:space="preserve">ovulatory phase 7.5-20mIU/ml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luteal phase 1.3-11mIU/ml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Post menopause 36-138mIU/ml</w:t>
            </w:r>
          </w:p>
        </w:tc>
        <w:tc>
          <w:tcPr>
            <w:tcW w:w="4261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FSH</w:t>
            </w:r>
          </w:p>
        </w:tc>
      </w:tr>
      <w:tr>
        <w:trPr/>
        <w:tc>
          <w:tcPr>
            <w:tcW w:w="4918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Males</w:t>
            </w:r>
            <w:r>
              <w:rPr>
                <w:rFonts w:ascii="Times New Roman" w:hAnsi="Times New Roman" w:cs="Times New Roman" w:eastAsia="MS Gothic" w:asciiTheme="majorBidi" w:cstheme="majorBidi" w:hAnsiTheme="majorBidi"/>
                <w:b/>
                <w:bCs/>
                <w:highlight w:val="darkYellow"/>
              </w:rPr>
              <w:t>：</w:t>
            </w: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 xml:space="preserve">54-340 die/ml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Females</w:t>
            </w:r>
            <w:r>
              <w:rPr>
                <w:rFonts w:eastAsia="MS Gothic" w:cs="Times New Roman" w:ascii="Times New Roman" w:hAnsi="Times New Roman" w:cstheme="majorBidi"/>
                <w:b/>
                <w:bCs/>
                <w:highlight w:val="darkYellow"/>
              </w:rPr>
              <w:t xml:space="preserve">    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 xml:space="preserve">Normal 66-490 μIU/ml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Post-menopausal 62-410 μIU/ml</w:t>
            </w:r>
          </w:p>
        </w:tc>
        <w:tc>
          <w:tcPr>
            <w:tcW w:w="4261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highlight w:val="dark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highlight w:val="darkYellow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PRL</w:t>
            </w:r>
          </w:p>
        </w:tc>
      </w:tr>
      <w:tr>
        <w:trPr/>
        <w:tc>
          <w:tcPr>
            <w:tcW w:w="4918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Males: 0.834 – 13.25 ng/mL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Females: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Age 20-24: 1.135 – 11.46 ng/mL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Age25-29: 0.775 – 9.752 ng/mL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Age 30-34: 0.334 – 7.834 ng/mL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Age: 35-39: 0.133 – 6.653 ng/mL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Age 40-44: 0.027 -  5.267 ng/mL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 xml:space="preserve">Age 45-50:  0.02 – 2.824 ng/mL </w:t>
            </w:r>
          </w:p>
        </w:tc>
        <w:tc>
          <w:tcPr>
            <w:tcW w:w="4261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highlight w:val="dark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highlight w:val="darkYellow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highlight w:val="dark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highlight w:val="darkYellow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highlight w:val="dark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highlight w:val="darkYellow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AMH</w:t>
            </w:r>
          </w:p>
        </w:tc>
      </w:tr>
      <w:tr>
        <w:trPr/>
        <w:tc>
          <w:tcPr>
            <w:tcW w:w="4918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  <w:u w:val="single"/>
              </w:rPr>
              <w:t>Non-reactive</w:t>
            </w: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 xml:space="preserve">: A result less than 2 AU/ml (&lt; 2 AU/ml) is considered to be </w:t>
            </w: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  <w:u w:val="single"/>
              </w:rPr>
              <w:t>negative</w:t>
            </w: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.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  <w:u w:val="single"/>
              </w:rPr>
              <w:t>Reactive</w:t>
            </w: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: A result greater than or equal to 2 AU/ml is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 w:cs="Times New Roman" w:asciiTheme="majorBidi" w:hAnsiTheme="majorBidi"/>
                <w:b/>
                <w:bCs/>
                <w:highlight w:val="darkYellow"/>
              </w:rPr>
              <w:t xml:space="preserve"> </w:t>
            </w: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 xml:space="preserve">(≥ 2 AU/ml) considered to be </w:t>
            </w: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  <w:u w:val="single"/>
              </w:rPr>
              <w:t>positive</w:t>
            </w: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.</w:t>
            </w:r>
          </w:p>
        </w:tc>
        <w:tc>
          <w:tcPr>
            <w:tcW w:w="4261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highlight w:val="dark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highlight w:val="darkYellow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highlight w:val="dark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highlight w:val="darkYellow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ToxoIgG</w:t>
            </w:r>
          </w:p>
        </w:tc>
      </w:tr>
      <w:tr>
        <w:trPr/>
        <w:tc>
          <w:tcPr>
            <w:tcW w:w="4918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Male: 2.2 – 10.5 ng/ml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Female: &lt; 1.0 ng/ml</w:t>
            </w:r>
          </w:p>
        </w:tc>
        <w:tc>
          <w:tcPr>
            <w:tcW w:w="4261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Testosterone total</w:t>
            </w:r>
            <w:bookmarkStart w:id="0" w:name="_GoBack"/>
            <w:bookmarkEnd w:id="0"/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cstheme="majorBidi" w:ascii="Times New Roman" w:hAnsi="Times New Roman"/>
          <w:sz w:val="36"/>
          <w:szCs w:val="36"/>
        </w:rPr>
      </w:r>
    </w:p>
    <w:p>
      <w:pPr>
        <w:pStyle w:val="Normal"/>
        <w:bidi w:val="0"/>
        <w:jc w:val="left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cstheme="majorBidi" w:ascii="Times New Roman" w:hAnsi="Times New Roman"/>
          <w:sz w:val="36"/>
          <w:szCs w:val="36"/>
        </w:rPr>
      </w:r>
    </w:p>
    <w:p>
      <w:pPr>
        <w:pStyle w:val="Normal"/>
        <w:bidi w:val="0"/>
        <w:jc w:val="left"/>
        <w:rPr/>
      </w:pPr>
      <w:r>
        <w:rPr/>
      </w:r>
    </w:p>
    <w:tbl>
      <w:tblPr>
        <w:tblStyle w:val="a3"/>
        <w:bidiVisual w:val="true"/>
        <w:tblW w:w="9464" w:type="dxa"/>
        <w:jc w:val="left"/>
        <w:tblInd w:w="-94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661"/>
        <w:gridCol w:w="2802"/>
      </w:tblGrid>
      <w:tr>
        <w:trPr/>
        <w:tc>
          <w:tcPr>
            <w:tcW w:w="6661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highlight w:val="darkYellow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  <w:u w:val="single"/>
              </w:rPr>
              <w:t>Non reactive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</w:rPr>
              <w:t xml:space="preserve"> :A result less than 2 AU/mL (</w:t>
            </w:r>
            <w:r>
              <w:rPr>
                <w:rFonts w:eastAsia="Wingdings" w:cs="Wingdings" w:ascii="Wingdings" w:hAnsi="Wingdings"/>
                <w:b/>
                <w:bCs/>
                <w:highlight w:val="darkYellow"/>
              </w:rPr>
              <w:t>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</w:rPr>
              <w:t xml:space="preserve">2 AU/mL) considered to be 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  <w:u w:val="single"/>
              </w:rPr>
              <w:t>Negative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</w:rPr>
              <w:t xml:space="preserve">.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highlight w:val="darkYellow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  <w:u w:val="single"/>
              </w:rPr>
              <w:t>Gray zone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</w:rPr>
              <w:t xml:space="preserve"> : A result in the interval between 2 and 2.6 AU/mL is considered to be 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  <w:u w:val="single"/>
              </w:rPr>
              <w:t>Equivocal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</w:rPr>
              <w:t>.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highlight w:val="darkYellow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  <w:u w:val="single"/>
              </w:rPr>
              <w:t>Reactive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</w:rPr>
              <w:t xml:space="preserve"> : A result greater than or equal to 2.6 AU/mL considered to be 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  <w:u w:val="single"/>
              </w:rPr>
              <w:t>Positive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</w:rPr>
              <w:t xml:space="preserve"> . Reactive for IgM antibodies to txo may indicate current infection , reactivation or vaccination.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highlight w:val="darkYellow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  <w:highlight w:val="darkYellow"/>
                <w:u w:val="single"/>
              </w:rPr>
              <w:t>Note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  <w:u w:val="single"/>
              </w:rPr>
              <w:t>: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highlight w:val="darkYellow"/>
              </w:rPr>
            </w:pPr>
            <w:r>
              <w:rPr>
                <w:rFonts w:ascii="Wingdings" w:hAnsi="Wingdings" w:eastAsia="Wingdings" w:cs="Wingdings"/>
                <w:b/>
                <w:bCs/>
                <w:highlight w:val="darkYellow"/>
              </w:rPr>
              <w:t>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</w:rPr>
              <w:t>It is recommended to confirm result of specimens in gray zone by testing ToxoIgG.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highlight w:val="darkYellow"/>
              </w:rPr>
            </w:pPr>
            <w:r>
              <w:rPr>
                <w:rFonts w:ascii="Wingdings" w:hAnsi="Wingdings" w:eastAsia="Wingdings" w:cs="Wingdings"/>
                <w:b/>
                <w:bCs/>
                <w:highlight w:val="darkYellow"/>
              </w:rPr>
              <w:t>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</w:rPr>
              <w:t>Consider to take a second sample , if possible within an appropriate period of time (e.g…. tow week) to confirm level of IgM , IgG .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highlight w:val="darkYellow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</w:rPr>
              <w:t>Since there is no international standard material for ToxoIgM yet , different IVD manufacturer have different traceability chain. Therefore results forms assays of other manufactures cannot be used interchangeably.</w:t>
            </w:r>
          </w:p>
        </w:tc>
        <w:tc>
          <w:tcPr>
            <w:tcW w:w="280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  <w:highlight w:val="dark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darkYellow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  <w:highlight w:val="dark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darkYellow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  <w:highlight w:val="dark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darkYellow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  <w:highlight w:val="dark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darkYellow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  <w:highlight w:val="dark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darkYellow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  <w:highlight w:val="dark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darkYellow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  <w:highlight w:val="dark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darkYellow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highlight w:val="darkYellow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  <w:highlight w:val="darkYellow"/>
              </w:rPr>
              <w:t>ToxoIgM</w:t>
            </w:r>
          </w:p>
        </w:tc>
      </w:tr>
      <w:tr>
        <w:trPr/>
        <w:tc>
          <w:tcPr>
            <w:tcW w:w="6661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highlight w:val="darkYellow"/>
              </w:rPr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  <w:u w:val="single"/>
              </w:rPr>
              <w:t>Non-reactive</w:t>
            </w: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 xml:space="preserve">: A result less than 2 AU/ml ( &lt; 2 AU/ml ) is considered to be </w:t>
            </w: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  <w:u w:val="single"/>
              </w:rPr>
              <w:t>negative</w:t>
            </w: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 xml:space="preserve">.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highlight w:val="darkYellow"/>
              </w:rPr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  <w:u w:val="single"/>
              </w:rPr>
              <w:t>Reactive</w:t>
            </w: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: A result greater than or equal to 2 AU/ml is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highlight w:val="darkYellow"/>
              </w:rPr>
            </w:pPr>
            <w:r>
              <w:rPr>
                <w:rFonts w:ascii="Times New Roman" w:hAnsi="Times New Roman" w:cs="Times New Roman" w:asciiTheme="majorBidi" w:hAnsiTheme="majorBidi"/>
                <w:b/>
                <w:bCs/>
                <w:highlight w:val="darkYellow"/>
              </w:rPr>
              <w:t xml:space="preserve"> </w:t>
            </w: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 xml:space="preserve">( ≥ 2 AU/ml ) considered to be </w:t>
            </w: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  <w:u w:val="single"/>
              </w:rPr>
              <w:t>positive</w:t>
            </w:r>
          </w:p>
        </w:tc>
        <w:tc>
          <w:tcPr>
            <w:tcW w:w="280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  <w:highlight w:val="dark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darkYellow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highlight w:val="darkYellow"/>
              </w:rPr>
            </w:pPr>
            <w:r>
              <w:rPr>
                <w:rFonts w:cs="Times New Roman" w:ascii="Times New Roman" w:hAnsi="Times New Roman" w:cstheme="majorBidi"/>
                <w:b/>
                <w:bCs/>
                <w:sz w:val="24"/>
                <w:szCs w:val="24"/>
                <w:highlight w:val="darkYellow"/>
              </w:rPr>
              <w:t>Rubella IgG</w:t>
            </w:r>
          </w:p>
        </w:tc>
      </w:tr>
      <w:tr>
        <w:trPr/>
        <w:tc>
          <w:tcPr>
            <w:tcW w:w="6661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highlight w:val="darkYellow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  <w:u w:val="single"/>
              </w:rPr>
              <w:t>Non reactive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</w:rPr>
              <w:t xml:space="preserve"> :A result less than 2 AU/mL (</w:t>
            </w:r>
            <w:r>
              <w:rPr>
                <w:rFonts w:eastAsia="Wingdings" w:cs="Wingdings" w:ascii="Wingdings" w:hAnsi="Wingdings"/>
                <w:b/>
                <w:bCs/>
                <w:highlight w:val="darkYellow"/>
              </w:rPr>
              <w:t>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</w:rPr>
              <w:t xml:space="preserve">2 AU/mL) considered to be 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  <w:u w:val="single"/>
              </w:rPr>
              <w:t>Negative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</w:rPr>
              <w:t xml:space="preserve">.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highlight w:val="darkYellow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  <w:u w:val="single"/>
              </w:rPr>
              <w:t>Gray zone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</w:rPr>
              <w:t xml:space="preserve"> : A result in the interval between 2 and 3 AU/mL is considered to be 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  <w:u w:val="single"/>
              </w:rPr>
              <w:t>Equivocal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</w:rPr>
              <w:t>.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highlight w:val="darkYellow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  <w:u w:val="single"/>
              </w:rPr>
              <w:t>Reactive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</w:rPr>
              <w:t xml:space="preserve"> : A result greater than or equal to 3 AU/mL considered to be 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  <w:u w:val="single"/>
              </w:rPr>
              <w:t>Positive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</w:rPr>
              <w:t xml:space="preserve"> . Reactive for IgM antibodies to Rubella may indicate current infection , reactivation or vaccination.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highlight w:val="darkYellow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  <w:highlight w:val="darkYellow"/>
                <w:u w:val="single"/>
              </w:rPr>
              <w:t>Note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  <w:u w:val="single"/>
              </w:rPr>
              <w:t>: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highlight w:val="darkYellow"/>
              </w:rPr>
            </w:pPr>
            <w:r>
              <w:rPr>
                <w:rFonts w:ascii="Wingdings" w:hAnsi="Wingdings" w:eastAsia="Wingdings" w:cs="Wingdings"/>
                <w:b/>
                <w:bCs/>
                <w:highlight w:val="darkYellow"/>
              </w:rPr>
              <w:t></w:t>
            </w:r>
            <w:r>
              <w:rPr>
                <w:rFonts w:ascii="Times New Roman" w:hAnsi="Times New Roman" w:cs="Times New Roman" w:asciiTheme="majorBidi" w:cstheme="majorBidi" w:hAnsiTheme="majorBidi"/>
                <w:b/>
                <w:bCs/>
                <w:highlight w:val="darkYellow"/>
              </w:rPr>
              <w:t xml:space="preserve"> 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</w:rPr>
              <w:t>It is recommended to confirm result of specimens in gray zone by testing Rubella IgG.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highlight w:val="darkYellow"/>
              </w:rPr>
            </w:pPr>
            <w:r>
              <w:rPr>
                <w:rFonts w:ascii="Wingdings" w:hAnsi="Wingdings" w:eastAsia="Wingdings" w:cs="Wingdings"/>
                <w:b/>
                <w:bCs/>
                <w:highlight w:val="darkYellow"/>
              </w:rPr>
              <w:t></w:t>
            </w:r>
            <w:r>
              <w:rPr>
                <w:rFonts w:ascii="Times New Roman" w:hAnsi="Times New Roman" w:cs="Times New Roman" w:asciiTheme="majorBidi" w:cstheme="majorBidi" w:hAnsiTheme="majorBidi"/>
                <w:b/>
                <w:bCs/>
                <w:highlight w:val="darkYellow"/>
              </w:rPr>
              <w:t xml:space="preserve"> 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</w:rPr>
              <w:t>Consider to take a second sample , if possible within an appropriate period of time (e.g…. tow week) to confirm level of IgM , IgG .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highlight w:val="darkYellow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</w:rPr>
              <w:t>Since there is no international standard material for Rubella GM yet , different IVD manufacturer have different traceability chain. Therefore results forms assays of other manufactures cannot be used interchangeably.</w:t>
            </w:r>
          </w:p>
        </w:tc>
        <w:tc>
          <w:tcPr>
            <w:tcW w:w="280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  <w:highlight w:val="dark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darkYellow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  <w:highlight w:val="dark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darkYellow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  <w:highlight w:val="dark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darkYellow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  <w:highlight w:val="dark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darkYellow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  <w:highlight w:val="dark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darkYellow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  <w:highlight w:val="dark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darkYellow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highlight w:val="darkYellow"/>
              </w:rPr>
            </w:pPr>
            <w:r>
              <w:rPr>
                <w:rFonts w:cs="Times New Roman" w:ascii="Times New Roman" w:hAnsi="Times New Roman" w:cstheme="majorBidi"/>
                <w:b/>
                <w:bCs/>
                <w:sz w:val="24"/>
                <w:szCs w:val="24"/>
                <w:highlight w:val="darkYellow"/>
              </w:rPr>
              <w:t>Rubella IgM</w:t>
            </w:r>
          </w:p>
        </w:tc>
      </w:tr>
      <w:tr>
        <w:trPr/>
        <w:tc>
          <w:tcPr>
            <w:tcW w:w="6661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highlight w:val="darkYellow"/>
              </w:rPr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 xml:space="preserve">Male: 25-350ng/ml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highlight w:val="darkYellow"/>
              </w:rPr>
              <w:t>Female: 13-232ng/m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</w:rPr>
              <w:t>l</w:t>
            </w:r>
          </w:p>
        </w:tc>
        <w:tc>
          <w:tcPr>
            <w:tcW w:w="280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highlight w:val="darkYellow"/>
              </w:rPr>
            </w:pPr>
            <w:r>
              <w:rPr>
                <w:rFonts w:cs="Times New Roman" w:ascii="Times New Roman" w:hAnsi="Times New Roman" w:cstheme="majorBidi"/>
                <w:b/>
                <w:bCs/>
                <w:sz w:val="24"/>
                <w:szCs w:val="24"/>
                <w:highlight w:val="darkYellow"/>
              </w:rPr>
              <w:t xml:space="preserve">Ferritin </w:t>
            </w:r>
          </w:p>
        </w:tc>
      </w:tr>
      <w:tr>
        <w:trPr/>
        <w:tc>
          <w:tcPr>
            <w:tcW w:w="6661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</w:rPr>
              <w:t>Males :15 – 50 pg/mL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</w:rPr>
              <w:t xml:space="preserve">Females:  </w:t>
            </w:r>
            <w:r>
              <w:rPr>
                <w:rFonts w:eastAsia="Wingdings" w:cs="Wingdings" w:ascii="Wingdings" w:hAnsi="Wingdings"/>
                <w:b/>
                <w:bCs/>
                <w:sz w:val="24"/>
                <w:szCs w:val="24"/>
              </w:rPr>
              <w:t>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</w:rPr>
              <w:t>4.2 pg/mL</w:t>
            </w:r>
          </w:p>
        </w:tc>
        <w:tc>
          <w:tcPr>
            <w:tcW w:w="280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highlight w:val="darkYellow"/>
              </w:rPr>
            </w:pPr>
            <w:r>
              <w:rPr>
                <w:rFonts w:cs="Times New Roman" w:ascii="Times New Roman" w:hAnsi="Times New Roman" w:cstheme="majorBidi"/>
                <w:b/>
                <w:bCs/>
                <w:sz w:val="24"/>
                <w:szCs w:val="24"/>
                <w:highlight w:val="darkYellow"/>
              </w:rPr>
              <w:t>Free Testosterone</w:t>
            </w:r>
          </w:p>
        </w:tc>
      </w:tr>
      <w:tr>
        <w:trPr/>
        <w:tc>
          <w:tcPr>
            <w:tcW w:w="6661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highlight w:val="darkYellow"/>
              </w:rPr>
            </w:pPr>
            <w:r>
              <w:rPr>
                <w:rFonts w:cs="Times New Roman" w:ascii="Times New Roman" w:hAnsi="Times New Roman" w:cstheme="majorBidi"/>
                <w:b/>
                <w:bCs/>
                <w:sz w:val="20"/>
                <w:szCs w:val="20"/>
                <w:highlight w:val="darkYellow"/>
              </w:rPr>
              <w:t>3 – 7 Days: 5 – 50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highlight w:val="darkYellow"/>
              </w:rPr>
            </w:pPr>
            <w:r>
              <w:rPr>
                <w:rFonts w:cs="Times New Roman" w:ascii="Times New Roman" w:hAnsi="Times New Roman" w:cstheme="majorBidi"/>
                <w:b/>
                <w:bCs/>
                <w:sz w:val="20"/>
                <w:szCs w:val="20"/>
                <w:highlight w:val="darkYellow"/>
              </w:rPr>
              <w:t>1 – 2 Weeks: 10 – 472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highlight w:val="darkYellow"/>
              </w:rPr>
            </w:pPr>
            <w:r>
              <w:rPr>
                <w:rFonts w:cs="Times New Roman" w:ascii="Times New Roman" w:hAnsi="Times New Roman" w:cstheme="majorBidi"/>
                <w:b/>
                <w:bCs/>
                <w:sz w:val="20"/>
                <w:szCs w:val="20"/>
                <w:highlight w:val="darkYellow"/>
              </w:rPr>
              <w:t>2 -3Weeks: 90- 4590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highlight w:val="darkYellow"/>
              </w:rPr>
            </w:pPr>
            <w:r>
              <w:rPr>
                <w:rFonts w:cs="Times New Roman" w:ascii="Times New Roman" w:hAnsi="Times New Roman" w:cstheme="majorBidi"/>
                <w:b/>
                <w:bCs/>
                <w:sz w:val="20"/>
                <w:szCs w:val="20"/>
                <w:highlight w:val="darkYellow"/>
              </w:rPr>
              <w:t>3-4 Weeks:462 – 10940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highlight w:val="darkYellow"/>
              </w:rPr>
            </w:pPr>
            <w:r>
              <w:rPr>
                <w:rFonts w:cs="Times New Roman" w:ascii="Times New Roman" w:hAnsi="Times New Roman" w:cstheme="majorBidi"/>
                <w:b/>
                <w:bCs/>
                <w:sz w:val="20"/>
                <w:szCs w:val="20"/>
                <w:highlight w:val="darkYellow"/>
              </w:rPr>
              <w:t>4-5Weeks: 1065 – 68248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highlight w:val="darkYellow"/>
              </w:rPr>
            </w:pPr>
            <w:r>
              <w:rPr>
                <w:rFonts w:cs="Times New Roman" w:ascii="Times New Roman" w:hAnsi="Times New Roman" w:cstheme="majorBidi"/>
                <w:b/>
                <w:bCs/>
                <w:sz w:val="20"/>
                <w:szCs w:val="20"/>
                <w:highlight w:val="darkYellow"/>
              </w:rPr>
              <w:t>5-6 Weeks: 7458 – 118515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highlight w:val="darkYellow"/>
              </w:rPr>
            </w:pPr>
            <w:r>
              <w:rPr>
                <w:rFonts w:cs="Times New Roman" w:ascii="Times New Roman" w:hAnsi="Times New Roman" w:cstheme="majorBidi"/>
                <w:b/>
                <w:bCs/>
                <w:sz w:val="20"/>
                <w:szCs w:val="20"/>
                <w:highlight w:val="darkYellow"/>
              </w:rPr>
              <w:t>6-7 Weeks:14423 – 175638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highlight w:val="darkYellow"/>
              </w:rPr>
            </w:pPr>
            <w:r>
              <w:rPr>
                <w:rFonts w:cs="Times New Roman" w:ascii="Times New Roman" w:hAnsi="Times New Roman" w:cstheme="majorBidi"/>
                <w:b/>
                <w:bCs/>
                <w:sz w:val="20"/>
                <w:szCs w:val="20"/>
                <w:highlight w:val="darkYellow"/>
              </w:rPr>
              <w:t>7-8Weeks: 31510- 184628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highlight w:val="darkYellow"/>
              </w:rPr>
            </w:pPr>
            <w:r>
              <w:rPr>
                <w:rFonts w:cs="Times New Roman" w:ascii="Times New Roman" w:hAnsi="Times New Roman" w:cstheme="majorBidi"/>
                <w:b/>
                <w:bCs/>
                <w:sz w:val="20"/>
                <w:szCs w:val="20"/>
                <w:highlight w:val="darkYellow"/>
              </w:rPr>
              <w:t>8-12 Weeks: 28639 – 224919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highlight w:val="darkYellow"/>
              </w:rPr>
            </w:pPr>
            <w:r>
              <w:rPr>
                <w:rFonts w:cs="Times New Roman" w:ascii="Times New Roman" w:hAnsi="Times New Roman" w:cstheme="majorBidi"/>
                <w:b/>
                <w:bCs/>
                <w:sz w:val="20"/>
                <w:szCs w:val="20"/>
                <w:highlight w:val="darkYellow"/>
              </w:rPr>
              <w:t>12-16 Weeks: 9870 - 106917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highlight w:val="darkYellow"/>
              </w:rPr>
            </w:pPr>
            <w:r>
              <w:rPr>
                <w:rFonts w:cs="Times New Roman" w:ascii="Times New Roman" w:hAnsi="Times New Roman" w:cstheme="majorBidi"/>
                <w:b/>
                <w:bCs/>
                <w:highlight w:val="darkYellow"/>
              </w:rPr>
              <w:t>16 – 18 Weeks: 7924 - 56552</w:t>
            </w:r>
          </w:p>
        </w:tc>
        <w:tc>
          <w:tcPr>
            <w:tcW w:w="280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highlight w:val="darkYellow"/>
              </w:rPr>
            </w:pPr>
            <w:r>
              <w:rPr>
                <w:rFonts w:cs="Times New Roman" w:ascii="Times New Roman" w:hAnsi="Times New Roman" w:cstheme="majorBidi"/>
                <w:b/>
                <w:bCs/>
                <w:sz w:val="24"/>
                <w:szCs w:val="24"/>
                <w:highlight w:val="darkYellow"/>
              </w:rPr>
              <w:t>β-HCG(mlU/mL)</w:t>
            </w:r>
          </w:p>
        </w:tc>
      </w:tr>
      <w:tr>
        <w:trPr/>
        <w:tc>
          <w:tcPr>
            <w:tcW w:w="6661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0"/>
                <w:szCs w:val="20"/>
                <w:highlight w:val="yellow"/>
              </w:rPr>
              <w:t xml:space="preserve">Male &lt; 87 Pg\ml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highlight w:val="yellow"/>
              </w:rPr>
              <w:t>Female</w:t>
            </w:r>
            <w:r>
              <w:rPr>
                <w:rFonts w:ascii="Times New Roman" w:hAnsi="Times New Roman" w:cs="Times New Roman" w:asciiTheme="majorBidi" w:cstheme="majorBidi" w:hAnsiTheme="majorBidi" w:eastAsia="MS Gothic"/>
                <w:b/>
                <w:bCs/>
                <w:highlight w:val="yellow"/>
              </w:rPr>
              <w:t>：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highlight w:val="yellow"/>
              </w:rPr>
              <w:t xml:space="preserve">Follicular phase 15- 112 Pg\ml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highlight w:val="yellow"/>
              </w:rPr>
              <w:t xml:space="preserve">Preovulatory phase 136 – 251 Pg\ml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highlight w:val="yellow"/>
              </w:rPr>
              <w:t xml:space="preserve">luteal phase 48 -172 Ph\ml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highlight w:val="yellow"/>
              </w:rPr>
              <w:t xml:space="preserve">Post menopause 10-  66Pg\ml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0"/>
                <w:szCs w:val="20"/>
                <w:highlight w:val="yellow"/>
              </w:rPr>
              <w:t xml:space="preserve">Hormonal contraceptive 15   59 </w:t>
            </w:r>
          </w:p>
        </w:tc>
        <w:tc>
          <w:tcPr>
            <w:tcW w:w="280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Estradiol (E 2 )</w:t>
            </w:r>
          </w:p>
        </w:tc>
      </w:tr>
      <w:tr>
        <w:trPr/>
        <w:tc>
          <w:tcPr>
            <w:tcW w:w="6661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0"/>
                <w:szCs w:val="20"/>
                <w:highlight w:val="yellow"/>
              </w:rPr>
              <w:t xml:space="preserve">Non reactive . the result less than 2AU\ml considered to be Negative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0"/>
                <w:szCs w:val="20"/>
                <w:highlight w:val="yellow"/>
              </w:rPr>
              <w:t xml:space="preserve">Reactive . the Result greater or equal 2AU\ml considered to be Positive </w:t>
            </w:r>
          </w:p>
        </w:tc>
        <w:tc>
          <w:tcPr>
            <w:tcW w:w="280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CMV IgG</w:t>
            </w:r>
          </w:p>
        </w:tc>
      </w:tr>
      <w:tr>
        <w:trPr/>
        <w:tc>
          <w:tcPr>
            <w:tcW w:w="6661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ascii="Times New Roman" w:hAnsi="Times New Roman" w:asciiTheme="majorBidi" w:hAnsiTheme="majorBidi" w:cs="Times New Roman"/>
                <w:b/>
                <w:bCs/>
                <w:sz w:val="20"/>
                <w:szCs w:val="20"/>
                <w:highlight w:val="yellow"/>
              </w:rPr>
              <w:t xml:space="preserve"> </w:t>
            </w:r>
            <w:r>
              <w:rPr>
                <w:rFonts w:cs="Times New Roman" w:cstheme="majorBidi" w:ascii="Times New Roman" w:hAnsi="Times New Roman"/>
                <w:b/>
                <w:bCs/>
                <w:sz w:val="20"/>
                <w:szCs w:val="20"/>
                <w:highlight w:val="yellow"/>
              </w:rPr>
              <w:t xml:space="preserve">The result less than 40.0AU\ml considered to be Negative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ascii="Times New Roman" w:hAnsi="Times New Roman" w:asciiTheme="majorBidi" w:hAnsiTheme="majorBidi" w:cs="Times New Roman"/>
                <w:b/>
                <w:bCs/>
                <w:sz w:val="20"/>
                <w:szCs w:val="20"/>
                <w:highlight w:val="yellow"/>
              </w:rPr>
              <w:t xml:space="preserve"> </w:t>
            </w:r>
            <w:r>
              <w:rPr>
                <w:rFonts w:cs="Times New Roman" w:cstheme="majorBidi" w:ascii="Times New Roman" w:hAnsi="Times New Roman"/>
                <w:b/>
                <w:bCs/>
                <w:sz w:val="20"/>
                <w:szCs w:val="20"/>
                <w:highlight w:val="yellow"/>
              </w:rPr>
              <w:t xml:space="preserve">The Result greater or equal 2AU\ml considered to be Positive </w:t>
            </w:r>
          </w:p>
        </w:tc>
        <w:tc>
          <w:tcPr>
            <w:tcW w:w="280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 xml:space="preserve">Anti Nuclear antibody (ANA) </w:t>
            </w:r>
          </w:p>
        </w:tc>
      </w:tr>
      <w:tr>
        <w:trPr/>
        <w:tc>
          <w:tcPr>
            <w:tcW w:w="6661" w:type="dxa"/>
            <w:tcBorders/>
          </w:tcPr>
          <w:tbl>
            <w:tblPr>
              <w:tblStyle w:val="TableNormal"/>
              <w:tblW w:w="5000" w:type="pct"/>
              <w:jc w:val="left"/>
              <w:tblInd w:w="637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/>
            </w:tblPr>
            <w:tblGrid>
              <w:gridCol w:w="2352"/>
              <w:gridCol w:w="4092"/>
            </w:tblGrid>
            <w:tr>
              <w:trPr>
                <w:trHeight w:val="172" w:hRule="atLeast"/>
              </w:trPr>
              <w:tc>
                <w:tcPr>
                  <w:tcW w:w="2352" w:type="dxa"/>
                  <w:tcBorders>
                    <w:bottom w:val="single" w:sz="2" w:space="0" w:color="000000"/>
                  </w:tcBorders>
                </w:tcPr>
                <w:p>
                  <w:pPr>
                    <w:pStyle w:val="TableParagraph"/>
                    <w:bidi w:val="0"/>
                    <w:spacing w:lineRule="exact" w:line="153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Sample type</w:t>
                  </w:r>
                </w:p>
              </w:tc>
              <w:tc>
                <w:tcPr>
                  <w:tcW w:w="4092" w:type="dxa"/>
                  <w:tcBorders>
                    <w:bottom w:val="single" w:sz="2" w:space="0" w:color="000000"/>
                  </w:tcBorders>
                </w:tcPr>
                <w:p>
                  <w:pPr>
                    <w:pStyle w:val="TableParagraph"/>
                    <w:bidi w:val="0"/>
                    <w:spacing w:lineRule="exact" w:line="153"/>
                    <w:ind w:left="654" w:hanging="0"/>
                    <w:jc w:val="left"/>
                    <w:rPr/>
                  </w:pPr>
                  <w:r>
                    <w:rPr>
                      <w:sz w:val="15"/>
                    </w:rPr>
                    <w:t>ng/ml</w:t>
                  </w:r>
                </w:p>
              </w:tc>
            </w:tr>
            <w:tr>
              <w:trPr>
                <w:trHeight w:val="191" w:hRule="atLeast"/>
              </w:trPr>
              <w:tc>
                <w:tcPr>
                  <w:tcW w:w="2352" w:type="dxa"/>
                  <w:tcBorders>
                    <w:top w:val="single" w:sz="2" w:space="0" w:color="000000"/>
                  </w:tcBorders>
                </w:tcPr>
                <w:p>
                  <w:pPr>
                    <w:pStyle w:val="TableParagraph"/>
                    <w:bidi w:val="0"/>
                    <w:spacing w:lineRule="exact" w:line="168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Normal adult</w:t>
                  </w:r>
                </w:p>
              </w:tc>
              <w:tc>
                <w:tcPr>
                  <w:tcW w:w="4092" w:type="dxa"/>
                  <w:tcBorders>
                    <w:top w:val="single" w:sz="2" w:space="0" w:color="000000"/>
                  </w:tcBorders>
                </w:tcPr>
                <w:p>
                  <w:pPr>
                    <w:pStyle w:val="TableParagraph"/>
                    <w:bidi w:val="0"/>
                    <w:spacing w:lineRule="exact" w:line="168"/>
                    <w:ind w:left="654" w:hanging="0"/>
                    <w:jc w:val="left"/>
                    <w:rPr/>
                  </w:pPr>
                  <w:r>
                    <w:rPr>
                      <w:sz w:val="13"/>
                      <w:szCs w:val="20"/>
                    </w:rPr>
                    <w:t>&lt;5.0</w:t>
                  </w:r>
                </w:p>
              </w:tc>
            </w:tr>
            <w:tr>
              <w:trPr>
                <w:trHeight w:val="214" w:hRule="atLeast"/>
              </w:trPr>
              <w:tc>
                <w:tcPr>
                  <w:tcW w:w="2352" w:type="dxa"/>
                  <w:tcBorders/>
                </w:tcPr>
                <w:p>
                  <w:pPr>
                    <w:pStyle w:val="TableParagraph"/>
                    <w:bidi w:val="0"/>
                    <w:spacing w:before="18" w:after="0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Cord blood</w:t>
                  </w:r>
                </w:p>
              </w:tc>
              <w:tc>
                <w:tcPr>
                  <w:tcW w:w="4092" w:type="dxa"/>
                  <w:tcBorders/>
                </w:tcPr>
                <w:p>
                  <w:pPr>
                    <w:pStyle w:val="TableParagraph"/>
                    <w:bidi w:val="0"/>
                    <w:spacing w:before="18" w:after="0"/>
                    <w:ind w:left="654" w:hanging="0"/>
                    <w:jc w:val="left"/>
                    <w:rPr/>
                  </w:pPr>
                  <w:r>
                    <w:rPr>
                      <w:sz w:val="15"/>
                    </w:rPr>
                    <w:t>10-50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2352" w:type="dxa"/>
                  <w:tcBorders>
                    <w:bottom w:val="single" w:sz="12" w:space="0" w:color="000000"/>
                  </w:tcBorders>
                </w:tcPr>
                <w:p>
                  <w:pPr>
                    <w:pStyle w:val="TableParagraph"/>
                    <w:bidi w:val="0"/>
                    <w:spacing w:before="19" w:after="0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Neonatal</w:t>
                  </w:r>
                </w:p>
              </w:tc>
              <w:tc>
                <w:tcPr>
                  <w:tcW w:w="4092" w:type="dxa"/>
                  <w:tcBorders>
                    <w:bottom w:val="single" w:sz="12" w:space="0" w:color="000000"/>
                  </w:tcBorders>
                </w:tcPr>
                <w:p>
                  <w:pPr>
                    <w:pStyle w:val="TableParagraph"/>
                    <w:bidi w:val="0"/>
                    <w:spacing w:before="19" w:after="0"/>
                    <w:ind w:left="654" w:hanging="0"/>
                    <w:jc w:val="left"/>
                    <w:rPr/>
                  </w:pPr>
                  <w:r>
                    <w:rPr>
                      <w:sz w:val="15"/>
                    </w:rPr>
                    <w:t>15-40</w:t>
                  </w:r>
                </w:p>
              </w:tc>
            </w:tr>
            <w:tr>
              <w:trPr>
                <w:trHeight w:val="215" w:hRule="atLeast"/>
              </w:trPr>
              <w:tc>
                <w:tcPr>
                  <w:tcW w:w="2352" w:type="dxa"/>
                  <w:tcBorders>
                    <w:top w:val="single" w:sz="12" w:space="0" w:color="000000"/>
                    <w:bottom w:val="single" w:sz="2" w:space="0" w:color="000000"/>
                  </w:tcBorders>
                </w:tcPr>
                <w:p>
                  <w:pPr>
                    <w:pStyle w:val="TableParagraph"/>
                    <w:bidi w:val="0"/>
                    <w:spacing w:lineRule="exact" w:line="170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male</w:t>
                  </w:r>
                </w:p>
              </w:tc>
              <w:tc>
                <w:tcPr>
                  <w:tcW w:w="4092" w:type="dxa"/>
                  <w:tcBorders>
                    <w:top w:val="single" w:sz="12" w:space="0" w:color="000000"/>
                    <w:bottom w:val="single" w:sz="2" w:space="0" w:color="000000"/>
                  </w:tcBorders>
                </w:tcPr>
                <w:p>
                  <w:pPr>
                    <w:pStyle w:val="TableParagraph"/>
                    <w:bidi w:val="0"/>
                    <w:jc w:val="left"/>
                    <w:rPr>
                      <w:rFonts w:ascii="Times New Roman" w:hAnsi="Times New Roman"/>
                      <w:sz w:val="14"/>
                    </w:rPr>
                  </w:pPr>
                  <w:r>
                    <w:rPr>
                      <w:rFonts w:ascii="Times New Roman" w:hAnsi="Times New Roman"/>
                      <w:sz w:val="14"/>
                    </w:rPr>
                  </w:r>
                </w:p>
              </w:tc>
            </w:tr>
            <w:tr>
              <w:trPr>
                <w:trHeight w:val="193" w:hRule="atLeast"/>
              </w:trPr>
              <w:tc>
                <w:tcPr>
                  <w:tcW w:w="2352" w:type="dxa"/>
                  <w:tcBorders>
                    <w:top w:val="single" w:sz="2" w:space="0" w:color="000000"/>
                  </w:tcBorders>
                </w:tcPr>
                <w:p>
                  <w:pPr>
                    <w:pStyle w:val="TableParagraph"/>
                    <w:bidi w:val="0"/>
                    <w:spacing w:lineRule="exact" w:line="171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1-7 days</w:t>
                  </w:r>
                </w:p>
              </w:tc>
              <w:tc>
                <w:tcPr>
                  <w:tcW w:w="4092" w:type="dxa"/>
                  <w:tcBorders>
                    <w:top w:val="single" w:sz="2" w:space="0" w:color="000000"/>
                  </w:tcBorders>
                </w:tcPr>
                <w:p>
                  <w:pPr>
                    <w:pStyle w:val="TableParagraph"/>
                    <w:bidi w:val="0"/>
                    <w:spacing w:lineRule="exact" w:line="171"/>
                    <w:ind w:left="654" w:hanging="0"/>
                    <w:jc w:val="left"/>
                    <w:rPr/>
                  </w:pPr>
                  <w:r>
                    <w:rPr>
                      <w:sz w:val="15"/>
                    </w:rPr>
                    <w:t>1.18-27.0</w:t>
                  </w:r>
                </w:p>
              </w:tc>
            </w:tr>
            <w:tr>
              <w:trPr>
                <w:trHeight w:val="193" w:hRule="atLeast"/>
              </w:trPr>
              <w:tc>
                <w:tcPr>
                  <w:tcW w:w="235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5" w:before="18" w:after="0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8-15 days</w:t>
                  </w:r>
                </w:p>
              </w:tc>
              <w:tc>
                <w:tcPr>
                  <w:tcW w:w="409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5" w:before="18" w:after="0"/>
                    <w:ind w:left="654" w:hanging="0"/>
                    <w:jc w:val="left"/>
                    <w:rPr/>
                  </w:pPr>
                  <w:r>
                    <w:rPr>
                      <w:sz w:val="15"/>
                    </w:rPr>
                    <w:t>0.69-17.3</w:t>
                  </w:r>
                </w:p>
              </w:tc>
            </w:tr>
            <w:tr>
              <w:trPr>
                <w:trHeight w:val="172" w:hRule="atLeast"/>
              </w:trPr>
              <w:tc>
                <w:tcPr>
                  <w:tcW w:w="235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1-3 years</w:t>
                  </w:r>
                </w:p>
              </w:tc>
              <w:tc>
                <w:tcPr>
                  <w:tcW w:w="409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654" w:hanging="0"/>
                    <w:jc w:val="left"/>
                    <w:rPr/>
                  </w:pPr>
                  <w:r>
                    <w:rPr>
                      <w:sz w:val="15"/>
                    </w:rPr>
                    <w:t>0.43-2.4</w:t>
                  </w:r>
                </w:p>
              </w:tc>
            </w:tr>
            <w:tr>
              <w:trPr>
                <w:trHeight w:val="172" w:hRule="atLeast"/>
              </w:trPr>
              <w:tc>
                <w:tcPr>
                  <w:tcW w:w="235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4-6 years</w:t>
                  </w:r>
                </w:p>
              </w:tc>
              <w:tc>
                <w:tcPr>
                  <w:tcW w:w="409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654" w:hanging="0"/>
                    <w:jc w:val="left"/>
                    <w:rPr/>
                  </w:pPr>
                  <w:r>
                    <w:rPr>
                      <w:sz w:val="15"/>
                    </w:rPr>
                    <w:t>0.09-2.5</w:t>
                  </w:r>
                </w:p>
              </w:tc>
            </w:tr>
            <w:tr>
              <w:trPr>
                <w:trHeight w:val="172" w:hRule="atLeast"/>
              </w:trPr>
              <w:tc>
                <w:tcPr>
                  <w:tcW w:w="235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7-8 years</w:t>
                  </w:r>
                </w:p>
              </w:tc>
              <w:tc>
                <w:tcPr>
                  <w:tcW w:w="409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654" w:hanging="0"/>
                    <w:jc w:val="left"/>
                    <w:rPr/>
                  </w:pPr>
                  <w:r>
                    <w:rPr>
                      <w:sz w:val="15"/>
                    </w:rPr>
                    <w:t>0.15-3.2</w:t>
                  </w:r>
                </w:p>
              </w:tc>
            </w:tr>
            <w:tr>
              <w:trPr>
                <w:trHeight w:val="173" w:hRule="atLeast"/>
              </w:trPr>
              <w:tc>
                <w:tcPr>
                  <w:tcW w:w="235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9-10 years</w:t>
                  </w:r>
                </w:p>
              </w:tc>
              <w:tc>
                <w:tcPr>
                  <w:tcW w:w="409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654" w:hanging="0"/>
                    <w:jc w:val="left"/>
                    <w:rPr/>
                  </w:pPr>
                  <w:r>
                    <w:rPr>
                      <w:sz w:val="15"/>
                    </w:rPr>
                    <w:t>0.09-1.95</w:t>
                  </w:r>
                </w:p>
              </w:tc>
            </w:tr>
            <w:tr>
              <w:trPr>
                <w:trHeight w:val="173" w:hRule="atLeast"/>
              </w:trPr>
              <w:tc>
                <w:tcPr>
                  <w:tcW w:w="235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11 year</w:t>
                  </w:r>
                </w:p>
              </w:tc>
              <w:tc>
                <w:tcPr>
                  <w:tcW w:w="409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654" w:hanging="0"/>
                    <w:jc w:val="left"/>
                    <w:rPr/>
                  </w:pPr>
                  <w:r>
                    <w:rPr>
                      <w:sz w:val="15"/>
                    </w:rPr>
                    <w:t>0.08-4.7</w:t>
                  </w:r>
                </w:p>
              </w:tc>
            </w:tr>
            <w:tr>
              <w:trPr>
                <w:trHeight w:val="171" w:hRule="atLeast"/>
              </w:trPr>
              <w:tc>
                <w:tcPr>
                  <w:tcW w:w="235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2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12 year</w:t>
                  </w:r>
                </w:p>
              </w:tc>
              <w:tc>
                <w:tcPr>
                  <w:tcW w:w="409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2"/>
                    <w:ind w:left="654" w:hanging="0"/>
                    <w:jc w:val="left"/>
                    <w:rPr/>
                  </w:pPr>
                  <w:r>
                    <w:rPr>
                      <w:sz w:val="15"/>
                    </w:rPr>
                    <w:t>0.12-8.9</w:t>
                  </w:r>
                </w:p>
              </w:tc>
            </w:tr>
            <w:tr>
              <w:trPr>
                <w:trHeight w:val="171" w:hRule="atLeast"/>
              </w:trPr>
              <w:tc>
                <w:tcPr>
                  <w:tcW w:w="235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2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13 year</w:t>
                  </w:r>
                </w:p>
              </w:tc>
              <w:tc>
                <w:tcPr>
                  <w:tcW w:w="409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2"/>
                    <w:ind w:left="654" w:hanging="0"/>
                    <w:jc w:val="left"/>
                    <w:rPr/>
                  </w:pPr>
                  <w:r>
                    <w:rPr>
                      <w:sz w:val="15"/>
                    </w:rPr>
                    <w:t>0.10-7.9</w:t>
                  </w:r>
                </w:p>
              </w:tc>
            </w:tr>
            <w:tr>
              <w:trPr>
                <w:trHeight w:val="172" w:hRule="atLeast"/>
              </w:trPr>
              <w:tc>
                <w:tcPr>
                  <w:tcW w:w="235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14 year</w:t>
                  </w:r>
                </w:p>
              </w:tc>
              <w:tc>
                <w:tcPr>
                  <w:tcW w:w="409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654" w:hanging="0"/>
                    <w:jc w:val="left"/>
                    <w:rPr/>
                  </w:pPr>
                  <w:r>
                    <w:rPr>
                      <w:sz w:val="15"/>
                    </w:rPr>
                    <w:t>0.09-7.1</w:t>
                  </w:r>
                </w:p>
              </w:tc>
            </w:tr>
            <w:tr>
              <w:trPr>
                <w:trHeight w:val="172" w:hRule="atLeast"/>
              </w:trPr>
              <w:tc>
                <w:tcPr>
                  <w:tcW w:w="235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15 year</w:t>
                  </w:r>
                </w:p>
              </w:tc>
              <w:tc>
                <w:tcPr>
                  <w:tcW w:w="409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654" w:hanging="0"/>
                    <w:jc w:val="left"/>
                    <w:rPr/>
                  </w:pPr>
                  <w:r>
                    <w:rPr>
                      <w:sz w:val="15"/>
                    </w:rPr>
                    <w:t>0.10-7.8</w:t>
                  </w:r>
                </w:p>
              </w:tc>
            </w:tr>
            <w:tr>
              <w:trPr>
                <w:trHeight w:val="172" w:hRule="atLeast"/>
              </w:trPr>
              <w:tc>
                <w:tcPr>
                  <w:tcW w:w="235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16 year</w:t>
                  </w:r>
                </w:p>
              </w:tc>
              <w:tc>
                <w:tcPr>
                  <w:tcW w:w="409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654" w:hanging="0"/>
                    <w:jc w:val="left"/>
                    <w:rPr/>
                  </w:pPr>
                  <w:r>
                    <w:rPr>
                      <w:sz w:val="15"/>
                    </w:rPr>
                    <w:t>0.08-11.4</w:t>
                  </w:r>
                </w:p>
              </w:tc>
            </w:tr>
            <w:tr>
              <w:trPr>
                <w:trHeight w:val="172" w:hRule="atLeast"/>
              </w:trPr>
              <w:tc>
                <w:tcPr>
                  <w:tcW w:w="235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17 year</w:t>
                  </w:r>
                </w:p>
              </w:tc>
              <w:tc>
                <w:tcPr>
                  <w:tcW w:w="409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654" w:hanging="0"/>
                    <w:jc w:val="left"/>
                    <w:rPr/>
                  </w:pPr>
                  <w:r>
                    <w:rPr>
                      <w:sz w:val="15"/>
                    </w:rPr>
                    <w:t>0.22-12.2</w:t>
                  </w:r>
                </w:p>
              </w:tc>
            </w:tr>
            <w:tr>
              <w:trPr>
                <w:trHeight w:val="173" w:hRule="atLeast"/>
              </w:trPr>
              <w:tc>
                <w:tcPr>
                  <w:tcW w:w="2352" w:type="dxa"/>
                  <w:tcBorders>
                    <w:bottom w:val="double" w:sz="4" w:space="0" w:color="000000"/>
                  </w:tcBorders>
                </w:tcPr>
                <w:p>
                  <w:pPr>
                    <w:pStyle w:val="TableParagraph"/>
                    <w:bidi w:val="0"/>
                    <w:spacing w:lineRule="exact" w:line="153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18-19 year</w:t>
                  </w:r>
                </w:p>
              </w:tc>
              <w:tc>
                <w:tcPr>
                  <w:tcW w:w="4092" w:type="dxa"/>
                  <w:tcBorders>
                    <w:bottom w:val="double" w:sz="4" w:space="0" w:color="000000"/>
                  </w:tcBorders>
                </w:tcPr>
                <w:p>
                  <w:pPr>
                    <w:pStyle w:val="TableParagraph"/>
                    <w:bidi w:val="0"/>
                    <w:spacing w:lineRule="exact" w:line="153"/>
                    <w:ind w:left="654" w:hanging="0"/>
                    <w:jc w:val="left"/>
                    <w:rPr/>
                  </w:pPr>
                  <w:r>
                    <w:rPr>
                      <w:sz w:val="15"/>
                    </w:rPr>
                    <w:t>0.97-4.7</w:t>
                  </w:r>
                </w:p>
              </w:tc>
            </w:tr>
            <w:tr>
              <w:trPr>
                <w:trHeight w:val="216" w:hRule="atLeast"/>
              </w:trPr>
              <w:tc>
                <w:tcPr>
                  <w:tcW w:w="2352" w:type="dxa"/>
                  <w:tcBorders>
                    <w:top w:val="double" w:sz="4" w:space="0" w:color="000000"/>
                    <w:bottom w:val="single" w:sz="2" w:space="0" w:color="000000"/>
                  </w:tcBorders>
                </w:tcPr>
                <w:p>
                  <w:pPr>
                    <w:pStyle w:val="TableParagraph"/>
                    <w:bidi w:val="0"/>
                    <w:spacing w:lineRule="exact" w:line="169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female</w:t>
                  </w:r>
                </w:p>
              </w:tc>
              <w:tc>
                <w:tcPr>
                  <w:tcW w:w="4092" w:type="dxa"/>
                  <w:tcBorders>
                    <w:top w:val="double" w:sz="4" w:space="0" w:color="000000"/>
                    <w:bottom w:val="single" w:sz="2" w:space="0" w:color="000000"/>
                  </w:tcBorders>
                </w:tcPr>
                <w:p>
                  <w:pPr>
                    <w:pStyle w:val="TableParagraph"/>
                    <w:bidi w:val="0"/>
                    <w:jc w:val="left"/>
                    <w:rPr>
                      <w:rFonts w:ascii="Times New Roman" w:hAnsi="Times New Roman"/>
                      <w:sz w:val="14"/>
                    </w:rPr>
                  </w:pPr>
                  <w:r>
                    <w:rPr>
                      <w:rFonts w:ascii="Times New Roman" w:hAnsi="Times New Roman"/>
                      <w:sz w:val="14"/>
                    </w:rPr>
                  </w:r>
                </w:p>
              </w:tc>
            </w:tr>
            <w:tr>
              <w:trPr>
                <w:trHeight w:val="170" w:hRule="atLeast"/>
              </w:trPr>
              <w:tc>
                <w:tcPr>
                  <w:tcW w:w="2352" w:type="dxa"/>
                  <w:tcBorders>
                    <w:top w:val="single" w:sz="2" w:space="0" w:color="000000"/>
                  </w:tcBorders>
                </w:tcPr>
                <w:p>
                  <w:pPr>
                    <w:pStyle w:val="TableParagraph"/>
                    <w:bidi w:val="0"/>
                    <w:spacing w:lineRule="exact" w:line="151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1-7 days</w:t>
                  </w:r>
                </w:p>
              </w:tc>
              <w:tc>
                <w:tcPr>
                  <w:tcW w:w="4092" w:type="dxa"/>
                  <w:tcBorders>
                    <w:top w:val="single" w:sz="2" w:space="0" w:color="000000"/>
                  </w:tcBorders>
                </w:tcPr>
                <w:p>
                  <w:pPr>
                    <w:pStyle w:val="TableParagraph"/>
                    <w:bidi w:val="0"/>
                    <w:spacing w:lineRule="exact" w:line="151"/>
                    <w:ind w:left="654" w:hanging="0"/>
                    <w:jc w:val="left"/>
                    <w:rPr/>
                  </w:pPr>
                  <w:r>
                    <w:rPr>
                      <w:sz w:val="15"/>
                    </w:rPr>
                    <w:t>2.4-24.0</w:t>
                  </w:r>
                </w:p>
              </w:tc>
            </w:tr>
            <w:tr>
              <w:trPr>
                <w:trHeight w:val="172" w:hRule="atLeast"/>
              </w:trPr>
              <w:tc>
                <w:tcPr>
                  <w:tcW w:w="235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8-15 days</w:t>
                  </w:r>
                </w:p>
              </w:tc>
              <w:tc>
                <w:tcPr>
                  <w:tcW w:w="409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654" w:hanging="0"/>
                    <w:jc w:val="left"/>
                    <w:rPr/>
                  </w:pPr>
                  <w:r>
                    <w:rPr>
                      <w:sz w:val="15"/>
                    </w:rPr>
                    <w:t>1.07-17.6</w:t>
                  </w:r>
                </w:p>
              </w:tc>
            </w:tr>
            <w:tr>
              <w:trPr>
                <w:trHeight w:val="172" w:hRule="atLeast"/>
              </w:trPr>
              <w:tc>
                <w:tcPr>
                  <w:tcW w:w="235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1-3 years</w:t>
                  </w:r>
                </w:p>
              </w:tc>
              <w:tc>
                <w:tcPr>
                  <w:tcW w:w="409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654" w:hanging="0"/>
                    <w:jc w:val="left"/>
                    <w:rPr/>
                  </w:pPr>
                  <w:r>
                    <w:rPr>
                      <w:sz w:val="15"/>
                    </w:rPr>
                    <w:t>0.50-3.5</w:t>
                  </w:r>
                </w:p>
              </w:tc>
            </w:tr>
            <w:tr>
              <w:trPr>
                <w:trHeight w:val="172" w:hRule="atLeast"/>
              </w:trPr>
              <w:tc>
                <w:tcPr>
                  <w:tcW w:w="235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4-6 years</w:t>
                  </w:r>
                </w:p>
              </w:tc>
              <w:tc>
                <w:tcPr>
                  <w:tcW w:w="409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654" w:hanging="0"/>
                    <w:jc w:val="left"/>
                    <w:rPr/>
                  </w:pPr>
                  <w:r>
                    <w:rPr>
                      <w:sz w:val="15"/>
                    </w:rPr>
                    <w:t>0.10-2.2</w:t>
                  </w:r>
                </w:p>
              </w:tc>
            </w:tr>
            <w:tr>
              <w:trPr>
                <w:trHeight w:val="171" w:hRule="atLeast"/>
              </w:trPr>
              <w:tc>
                <w:tcPr>
                  <w:tcW w:w="235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2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7-8 years</w:t>
                  </w:r>
                </w:p>
              </w:tc>
              <w:tc>
                <w:tcPr>
                  <w:tcW w:w="409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2"/>
                    <w:ind w:left="654" w:hanging="0"/>
                    <w:jc w:val="left"/>
                    <w:rPr/>
                  </w:pPr>
                  <w:r>
                    <w:rPr>
                      <w:sz w:val="15"/>
                    </w:rPr>
                    <w:t>0.16-5.4</w:t>
                  </w:r>
                </w:p>
              </w:tc>
            </w:tr>
            <w:tr>
              <w:trPr>
                <w:trHeight w:val="171" w:hRule="atLeast"/>
              </w:trPr>
              <w:tc>
                <w:tcPr>
                  <w:tcW w:w="235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2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9-10 years</w:t>
                  </w:r>
                </w:p>
              </w:tc>
              <w:tc>
                <w:tcPr>
                  <w:tcW w:w="409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2"/>
                    <w:ind w:left="654" w:hanging="0"/>
                    <w:jc w:val="left"/>
                    <w:rPr/>
                  </w:pPr>
                  <w:r>
                    <w:rPr>
                      <w:sz w:val="15"/>
                    </w:rPr>
                    <w:t>0.08-3.1</w:t>
                  </w:r>
                </w:p>
              </w:tc>
            </w:tr>
            <w:tr>
              <w:trPr>
                <w:trHeight w:val="172" w:hRule="atLeast"/>
              </w:trPr>
              <w:tc>
                <w:tcPr>
                  <w:tcW w:w="235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11 year</w:t>
                  </w:r>
                </w:p>
              </w:tc>
              <w:tc>
                <w:tcPr>
                  <w:tcW w:w="409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654" w:hanging="0"/>
                    <w:jc w:val="left"/>
                    <w:rPr/>
                  </w:pPr>
                  <w:r>
                    <w:rPr>
                      <w:sz w:val="15"/>
                    </w:rPr>
                    <w:t>0.12-6.9</w:t>
                  </w:r>
                </w:p>
              </w:tc>
            </w:tr>
            <w:tr>
              <w:trPr>
                <w:trHeight w:val="172" w:hRule="atLeast"/>
              </w:trPr>
              <w:tc>
                <w:tcPr>
                  <w:tcW w:w="235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12 year</w:t>
                  </w:r>
                </w:p>
              </w:tc>
              <w:tc>
                <w:tcPr>
                  <w:tcW w:w="409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654" w:hanging="0"/>
                    <w:jc w:val="left"/>
                    <w:rPr/>
                  </w:pPr>
                  <w:r>
                    <w:rPr>
                      <w:sz w:val="15"/>
                    </w:rPr>
                    <w:t>0.14-11.2</w:t>
                  </w:r>
                </w:p>
              </w:tc>
            </w:tr>
            <w:tr>
              <w:trPr>
                <w:trHeight w:val="172" w:hRule="atLeast"/>
              </w:trPr>
              <w:tc>
                <w:tcPr>
                  <w:tcW w:w="235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13 year</w:t>
                  </w:r>
                </w:p>
              </w:tc>
              <w:tc>
                <w:tcPr>
                  <w:tcW w:w="409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654" w:hanging="0"/>
                    <w:jc w:val="left"/>
                    <w:rPr/>
                  </w:pPr>
                  <w:r>
                    <w:rPr>
                      <w:sz w:val="15"/>
                    </w:rPr>
                    <w:t>0.21-17.8</w:t>
                  </w:r>
                </w:p>
              </w:tc>
            </w:tr>
            <w:tr>
              <w:trPr>
                <w:trHeight w:val="172" w:hRule="atLeast"/>
              </w:trPr>
              <w:tc>
                <w:tcPr>
                  <w:tcW w:w="235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14 year</w:t>
                  </w:r>
                </w:p>
              </w:tc>
              <w:tc>
                <w:tcPr>
                  <w:tcW w:w="409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654" w:hanging="0"/>
                    <w:jc w:val="left"/>
                    <w:rPr/>
                  </w:pPr>
                  <w:r>
                    <w:rPr>
                      <w:sz w:val="15"/>
                    </w:rPr>
                    <w:t>0.14-9.9</w:t>
                  </w:r>
                </w:p>
              </w:tc>
            </w:tr>
            <w:tr>
              <w:trPr>
                <w:trHeight w:val="172" w:hRule="atLeast"/>
              </w:trPr>
              <w:tc>
                <w:tcPr>
                  <w:tcW w:w="235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15 year</w:t>
                  </w:r>
                </w:p>
              </w:tc>
              <w:tc>
                <w:tcPr>
                  <w:tcW w:w="409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654" w:hanging="0"/>
                    <w:jc w:val="left"/>
                    <w:rPr/>
                  </w:pPr>
                  <w:r>
                    <w:rPr>
                      <w:sz w:val="15"/>
                    </w:rPr>
                    <w:t>0.24-10.0</w:t>
                  </w:r>
                </w:p>
              </w:tc>
            </w:tr>
            <w:tr>
              <w:trPr>
                <w:trHeight w:val="172" w:hRule="atLeast"/>
              </w:trPr>
              <w:tc>
                <w:tcPr>
                  <w:tcW w:w="235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16 year</w:t>
                  </w:r>
                </w:p>
              </w:tc>
              <w:tc>
                <w:tcPr>
                  <w:tcW w:w="409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3"/>
                    <w:ind w:left="654" w:hanging="0"/>
                    <w:jc w:val="left"/>
                    <w:rPr/>
                  </w:pPr>
                  <w:r>
                    <w:rPr>
                      <w:sz w:val="15"/>
                    </w:rPr>
                    <w:t>0.26-11.7</w:t>
                  </w:r>
                </w:p>
              </w:tc>
            </w:tr>
            <w:tr>
              <w:trPr>
                <w:trHeight w:val="171" w:hRule="atLeast"/>
              </w:trPr>
              <w:tc>
                <w:tcPr>
                  <w:tcW w:w="235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2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17 year</w:t>
                  </w:r>
                </w:p>
              </w:tc>
              <w:tc>
                <w:tcPr>
                  <w:tcW w:w="4092" w:type="dxa"/>
                  <w:tcBorders/>
                </w:tcPr>
                <w:p>
                  <w:pPr>
                    <w:pStyle w:val="TableParagraph"/>
                    <w:bidi w:val="0"/>
                    <w:spacing w:lineRule="exact" w:line="152"/>
                    <w:ind w:left="654" w:hanging="0"/>
                    <w:jc w:val="left"/>
                    <w:rPr/>
                  </w:pPr>
                  <w:r>
                    <w:rPr>
                      <w:sz w:val="15"/>
                    </w:rPr>
                    <w:t>0.30-10.8</w:t>
                  </w:r>
                </w:p>
              </w:tc>
            </w:tr>
            <w:tr>
              <w:trPr>
                <w:trHeight w:val="175" w:hRule="atLeast"/>
              </w:trPr>
              <w:tc>
                <w:tcPr>
                  <w:tcW w:w="2352" w:type="dxa"/>
                  <w:tcBorders>
                    <w:bottom w:val="single" w:sz="12" w:space="0" w:color="000000"/>
                  </w:tcBorders>
                </w:tcPr>
                <w:p>
                  <w:pPr>
                    <w:pStyle w:val="TableParagraph"/>
                    <w:bidi w:val="0"/>
                    <w:spacing w:lineRule="exact" w:line="155"/>
                    <w:ind w:left="115" w:hanging="0"/>
                    <w:jc w:val="left"/>
                    <w:rPr/>
                  </w:pPr>
                  <w:r>
                    <w:rPr>
                      <w:sz w:val="15"/>
                    </w:rPr>
                    <w:t>18-19 year</w:t>
                  </w:r>
                </w:p>
              </w:tc>
              <w:tc>
                <w:tcPr>
                  <w:tcW w:w="4092" w:type="dxa"/>
                  <w:tcBorders>
                    <w:bottom w:val="single" w:sz="12" w:space="0" w:color="000000"/>
                  </w:tcBorders>
                </w:tcPr>
                <w:p>
                  <w:pPr>
                    <w:pStyle w:val="TableParagraph"/>
                    <w:bidi w:val="0"/>
                    <w:spacing w:lineRule="exact" w:line="155"/>
                    <w:ind w:left="654" w:hanging="0"/>
                    <w:jc w:val="left"/>
                    <w:rPr/>
                  </w:pPr>
                  <w:r>
                    <w:rPr>
                      <w:sz w:val="15"/>
                    </w:rPr>
                    <w:t>0.24-4.3</w:t>
                  </w:r>
                </w:p>
              </w:tc>
            </w:tr>
          </w:tbl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3626" w:leader="none"/>
              </w:tabs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8"/>
                <w:szCs w:val="28"/>
              </w:rPr>
              <w:t>Growth hormone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bidi w:val="0"/>
              <w:spacing w:lineRule="auto" w:line="240" w:before="0" w:after="0"/>
              <w:jc w:val="left"/>
              <w:rPr/>
            </w:pPr>
            <w:r>
              <w:rPr>
                <w:sz w:val="30"/>
                <w:szCs w:val="32"/>
              </w:rPr>
              <w:t>108 – 588   ng/ml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bidi w:val="0"/>
              <w:spacing w:lineRule="auto" w:line="240" w:before="0" w:after="0"/>
              <w:jc w:val="left"/>
              <w:rPr/>
            </w:pPr>
            <w:r>
              <w:rPr>
                <w:b/>
                <w:bCs/>
                <w:sz w:val="30"/>
                <w:szCs w:val="32"/>
              </w:rPr>
              <w:t>IGF-1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  <w:jc w:val="left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06367"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TableParagraph" w:customStyle="1">
    <w:name w:val="Table Paragraph"/>
    <w:basedOn w:val="Normal"/>
    <w:uiPriority w:val="1"/>
    <w:qFormat/>
    <w:rsid w:val="00de47c9"/>
    <w:pPr>
      <w:widowControl w:val="false"/>
      <w:bidi w:val="0"/>
      <w:spacing w:lineRule="auto" w:line="240" w:before="0" w:after="0"/>
      <w:jc w:val="left"/>
    </w:pPr>
    <w:rPr>
      <w:rFonts w:ascii="Arial" w:hAnsi="Arial" w:eastAsia="Arial"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01181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qFormat/>
    <w:rsid w:val="00de47c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LibreOffice/6.4.7.2$Linux_X86_64 LibreOffice_project/40$Build-2</Application>
  <Pages>3</Pages>
  <Words>742</Words>
  <Characters>3705</Characters>
  <CharactersWithSpaces>4337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2021-06-22T10:02:00Z</dcterms:created>
  <dc:creator>‏‏مستخدم Windows</dc:creator>
  <dc:description/>
  <dc:language>ar-EG</dc:language>
  <cp:lastModifiedBy/>
  <cp:lastPrinted>2021-06-22T07:45:00Z</cp:lastPrinted>
  <dcterms:modified xsi:type="dcterms:W3CDTF">2021-06-23T22:53:23Z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