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left"/>
      </w:pPr>
      <w:r>
        <w:rPr>
          <w:rFonts w:ascii="Aptos" w:hAnsi="Aptos"/>
          <w:b/>
          <w:color w:val="005EB8"/>
          <w:sz w:val="18"/>
        </w:rPr>
        <w:t>PESQUISA DOCUMENTAL</w:t>
      </w:r>
    </w:p>
    <w:p>
      <w:pPr>
        <w:pStyle w:val="Title"/>
        <w:spacing w:before="80" w:after="160"/>
      </w:pPr>
      <w:r>
        <w:t>RAG técnico do conjunto</w:t>
        <w:br/>
        <w:t>WEG W22 e sensor VIM32PL</w:t>
      </w:r>
    </w:p>
    <w:p>
      <w:pPr>
        <w:pStyle w:val="Subtitle"/>
      </w:pPr>
      <w:r>
        <w:t>Fontes confiáveis, aplicabilidade, direitos e plano de corpus</w:t>
        <w:br/>
        <w:t>Forzy TwinOps • 4 de setembro de 2026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005EB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Ativo</w:t>
            </w:r>
          </w:p>
        </w:tc>
        <w:tc>
          <w:tcPr>
            <w:tcW w:type="dxa" w:w="5141"/>
            <w:shd w:fill="EFF6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W22 monofásico • 3 cv • 2P • 100L</w:t>
            </w:r>
          </w:p>
        </w:tc>
      </w:tr>
      <w:tr>
        <w:tc>
          <w:tcPr>
            <w:tcW w:type="dxa" w:w="5141"/>
            <w:shd w:fill="005EB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Configuração</w:t>
            </w:r>
          </w:p>
        </w:tc>
        <w:tc>
          <w:tcPr>
            <w:tcW w:type="dxa" w:w="5141"/>
            <w:shd w:fill="EFF6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110–127/220–254 V • 60 Hz • IP55 • IC411</w:t>
            </w:r>
          </w:p>
        </w:tc>
      </w:tr>
      <w:tr>
        <w:tc>
          <w:tcPr>
            <w:tcW w:type="dxa" w:w="5141"/>
            <w:shd w:fill="005EB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Forma</w:t>
            </w:r>
          </w:p>
        </w:tc>
        <w:tc>
          <w:tcPr>
            <w:tcW w:type="dxa" w:w="5141"/>
            <w:shd w:fill="EFF6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B3D • com pés • sem flange • caixa à esquerda</w:t>
            </w:r>
          </w:p>
        </w:tc>
      </w:tr>
      <w:tr>
        <w:tc>
          <w:tcPr>
            <w:tcW w:type="dxa" w:w="5141"/>
            <w:shd w:fill="005EB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Sensor</w:t>
            </w:r>
          </w:p>
        </w:tc>
        <w:tc>
          <w:tcPr>
            <w:tcW w:type="dxa" w:w="5141"/>
            <w:shd w:fill="EFF6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Pepperl+Fuchs VIM32PL • IO-Link • MEMS</w:t>
            </w:r>
          </w:p>
        </w:tc>
      </w:tr>
      <w:tr>
        <w:tc>
          <w:tcPr>
            <w:tcW w:type="dxa" w:w="5141"/>
            <w:shd w:fill="005EB8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5141"/>
            <w:shd w:fill="EFF6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4 fontes WEG + 2 P+F prioritárias • 12 insumos pendentes</w:t>
            </w:r>
          </w:p>
        </w:tc>
      </w:tr>
    </w:tbl>
    <w:p>
      <w:pPr>
        <w:spacing w:before="440" w:after="0"/>
      </w:pPr>
      <w:r>
        <w:rPr>
          <w:rFonts w:ascii="Aptos" w:hAnsi="Aptos"/>
          <w:b/>
          <w:color w:val="005EB8"/>
          <w:sz w:val="20"/>
        </w:rPr>
        <w:t>Decisão central</w:t>
      </w:r>
    </w:p>
    <w:p>
      <w:pPr>
        <w:spacing w:after="0"/>
        <w:ind w:left="259" w:right="259"/>
      </w:pPr>
      <w:r>
        <w:rPr>
          <w:rFonts w:ascii="Aptos" w:hAnsi="Aptos"/>
          <w:b/>
          <w:color w:val="1F2937"/>
          <w:sz w:val="24"/>
        </w:rPr>
        <w:t>A página do SKU não substitui a placa do exemplar; a ficha do sensor não substitui a telemetria observada. Respostas específicas exigem identidade, montagem, canal, unidade, tempo e qualidade comprovados.</w:t>
      </w:r>
    </w:p>
    <w:p>
      <w:r>
        <w:br w:type="page"/>
      </w:r>
    </w:p>
    <w:p>
      <w:pPr>
        <w:pStyle w:val="Heading1"/>
        <w:keepNext/>
        <w:spacing w:before="200" w:after="80"/>
      </w:pPr>
      <w:r>
        <w:t>1. Recomendação executiva</w:t>
      </w:r>
    </w:p>
    <w:p>
      <w:pPr>
        <w:keepLines w:val="0"/>
        <w:spacing w:before="0" w:after="100" w:line="269" w:lineRule="auto"/>
      </w:pPr>
      <w:r>
        <w:rPr>
          <w:b w:val="0"/>
        </w:rPr>
        <w:t>O corpus correto é hierárquico. A ordem de autoridade deve ser: exemplar instalado, produto exato, família exata, manual geral do fabricante, regulamento de segurança e, por último, metadados normativos. Essa precedência evita que um documento tecnicamente próximo seja promovido indevidamente a verdade do ativo.</w:t>
      </w:r>
    </w:p>
    <w:p>
      <w:pPr>
        <w:pStyle w:val="ListBullet"/>
        <w:spacing w:after="60"/>
        <w:ind w:left="360" w:hanging="230"/>
      </w:pPr>
      <w:r>
        <w:rPr>
          <w:b w:val="0"/>
        </w:rPr>
        <w:t>Começar o draft com o registro estruturado do SKU 13887610, a placa e o esquema do exemplar, o manual WEG 50033244 Rev. 43 e a vista explodida 50106446.</w:t>
      </w:r>
    </w:p>
    <w:p>
      <w:pPr>
        <w:pStyle w:val="ListBullet"/>
        <w:spacing w:after="60"/>
        <w:ind w:left="360" w:hanging="230"/>
      </w:pPr>
      <w:r>
        <w:rPr>
          <w:b w:val="0"/>
        </w:rPr>
        <w:t>O manual 50033244 verificado tem 233 páginas e 16,33 MB: cabe na V1. O gate remanescente é de direitos de uso público, não de tamanho.</w:t>
      </w:r>
    </w:p>
    <w:p>
      <w:pPr>
        <w:pStyle w:val="ListBullet"/>
        <w:spacing w:after="60"/>
        <w:ind w:left="360" w:hanging="230"/>
      </w:pPr>
      <w:r>
        <w:rPr>
          <w:b w:val="0"/>
        </w:rPr>
        <w:t>Tratar o VIM32PL como instrumento do ativo: documentação explica capacidade e montagem, enquanto o snapshot prova o que foi realmente medido.</w:t>
      </w:r>
    </w:p>
    <w:p>
      <w:pPr>
        <w:pStyle w:val="ListBullet"/>
        <w:spacing w:after="60"/>
        <w:ind w:left="360" w:hanging="230"/>
      </w:pPr>
      <w:r>
        <w:rPr>
          <w:b w:val="0"/>
        </w:rPr>
        <w:t>Não usar tabelas W22 220/440 V, catálogos NEMA/230 V, manuais trifásicos ou normas fora de escopo como dados do motor instalado.</w:t>
      </w:r>
    </w:p>
    <w:p>
      <w:pPr>
        <w:pStyle w:val="ListBullet"/>
        <w:spacing w:after="60"/>
        <w:ind w:left="360" w:hanging="230"/>
      </w:pPr>
      <w:r>
        <w:rPr>
          <w:b w:val="0"/>
        </w:rPr>
        <w:t>Manter NR-10 e NR-12 num namespace de segurança; elas não são o manual do motor nem definem saúde mecânica do ativo.</w:t>
      </w:r>
    </w:p>
    <w:p>
      <w:pPr>
        <w:pStyle w:val="ListBullet"/>
        <w:spacing w:after="60"/>
        <w:ind w:left="360" w:hanging="230"/>
      </w:pPr>
      <w:r>
        <w:rPr>
          <w:b w:val="0"/>
        </w:rPr>
        <w:t>Até existir ficha/placa exata, recusar corrente nominal, rpm em carga, rolamentos, graxa, capacitor, protetor térmico e instruções de ligação.</w:t>
      </w:r>
    </w:p>
    <w:p>
      <w:pPr>
        <w:pStyle w:val="Heading1"/>
        <w:keepNext/>
        <w:spacing w:before="200" w:after="80"/>
      </w:pPr>
      <w:r>
        <w:t>2. Identidade do ativo confirmada</w:t>
      </w:r>
    </w:p>
    <w:p>
      <w:pPr>
        <w:keepLines w:val="0"/>
        <w:spacing w:before="0" w:after="100" w:line="269" w:lineRule="auto"/>
      </w:pPr>
      <w:r>
        <w:rPr>
          <w:b w:val="0"/>
        </w:rPr>
        <w:t>A página pública do fabricante é o único artefato encontrado 100% específico do código 13887610. Ela é a âncora de identidade — não uma ficha completa do exemplar.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41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Valor confirmado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Fabricante / produto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WEG • 13887610 • W22 uso geral monofásico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Potência / construção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3 cv (≈2,2 kW) • 2 polos • carcaça 100L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Elétrica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110–127/220–254 V • 60 Hz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Proteção / refrigeração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IP55 • IC411 — TFVE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Montagem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B3D • com pés • sem flange • caixa à esquerda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Rotação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3600 rpm síncrona; não é automaticamente a rotação nominal em carga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Norma declarada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ABNT NBR 17094; parte específica do monofásico: NBR 17094-2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b w:val="0"/>
        </w:rPr>
        <w:t xml:space="preserve">Fonte canônica: </w:t>
      </w:r>
      <w:hyperlink r:id="rId10">
        <w:r>
          <w:rPr>
            <w:color w:val="005EB8"/>
            <w:u w:val="single"/>
          </w:rPr>
          <w:t>página WEG do produto 13887610</w:t>
        </w:r>
      </w:hyperlink>
    </w:p>
    <w:p>
      <w:pPr>
        <w:pStyle w:val="Heading1"/>
        <w:keepNext/>
        <w:spacing w:before="200" w:after="80"/>
      </w:pPr>
      <w:r>
        <w:t>3. Corpus recomendado</w:t>
      </w:r>
    </w:p>
    <w:p>
      <w:pPr>
        <w:pStyle w:val="Heading2"/>
        <w:keepNext/>
        <w:spacing w:before="160" w:after="80"/>
      </w:pPr>
      <w:r>
        <w:t>3.1 Camada A — verdade do exemplar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 / decisão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Página WEG 13887610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Identidade do SKU</w:t>
            </w:r>
          </w:p>
        </w:tc>
        <w:tc>
          <w:tcPr>
            <w:tcW w:type="dxa" w:w="3427"/>
            <w:shd w:fill="E8F5E9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Incluir como registro estruturado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Foto da placa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Serial, rpm, corrente, regime, FS, isolamento e campos do exemplar</w:t>
            </w:r>
          </w:p>
        </w:tc>
        <w:tc>
          <w:tcPr>
            <w:tcW w:type="dxa" w:w="3427"/>
            <w:shd w:fill="E8F5E9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Obrigatória antes da publicação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Esquema dentro da caixa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Ligação e tensão do exemplar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Obrigatório; bloquear instruções sem ele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WEG Data Viewer por serial/QR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Ficha, curvas, desenho, placa e ensaios</w:t>
            </w:r>
          </w:p>
        </w:tc>
        <w:tc>
          <w:tcPr>
            <w:tcW w:type="dxa" w:w="3427"/>
            <w:shd w:fill="E8F5E9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Fonte ideal a obter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b w:val="0"/>
        </w:rPr>
        <w:t>O WEG Data Viewer aceita QR/Data Matrix, serial ou código do produto e foi criado para entregar informações técnicas ligadas ao motor fabricado. É o melhor caminho para transformar uma configuração de catálogo em evidência do exemplar.</w:t>
      </w:r>
    </w:p>
    <w:p>
      <w:hyperlink r:id="rId11">
        <w:r>
          <w:rPr>
            <w:color w:val="005EB8"/>
            <w:u w:val="single"/>
          </w:rPr>
          <w:t>WEG Data Viewer — funcionalidades e tipos de documento</w:t>
        </w:r>
      </w:hyperlink>
      <w:r>
        <w:t xml:space="preserve">  •  </w:t>
      </w:r>
      <w:hyperlink r:id="rId12">
        <w:r>
          <w:rPr>
            <w:color w:val="005EB8"/>
            <w:u w:val="single"/>
          </w:rPr>
          <w:t>WEG Data Viewer — dados técnicos de motores</w:t>
        </w:r>
      </w:hyperlink>
    </w:p>
    <w:p>
      <w:pPr>
        <w:pStyle w:val="Heading2"/>
        <w:keepNext/>
        <w:spacing w:before="160" w:after="80"/>
      </w:pPr>
      <w:r>
        <w:t>3.2 Camada B — procedimentos oficiais WEG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2570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570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Aplicabilidade</w:t>
            </w:r>
          </w:p>
        </w:tc>
        <w:tc>
          <w:tcPr>
            <w:tcW w:type="dxa" w:w="2570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Decisão</w:t>
            </w:r>
          </w:p>
        </w:tc>
      </w:tr>
      <w:tr>
        <w:tc>
          <w:tcPr>
            <w:tcW w:type="dxa" w:w="257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257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50033244 Rev. 43 — Manual geral IOM</w:t>
            </w:r>
          </w:p>
        </w:tc>
        <w:tc>
          <w:tcPr>
            <w:tcW w:type="dxa" w:w="257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Mais completo; inclui monofásicos e troubleshooting</w:t>
            </w:r>
          </w:p>
        </w:tc>
        <w:tc>
          <w:tcPr>
            <w:tcW w:type="dxa" w:w="2570"/>
            <w:shd w:fill="FFF7E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Corpus principal após gate de direitos</w:t>
            </w:r>
          </w:p>
        </w:tc>
      </w:tr>
      <w:tr>
        <w:tc>
          <w:tcPr>
            <w:tcW w:type="dxa" w:w="257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257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50031070/21 — Guia IOM</w:t>
            </w:r>
          </w:p>
        </w:tc>
        <w:tc>
          <w:tcPr>
            <w:tcW w:type="dxa" w:w="257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Português, curto; inclui motores monofásicos</w:t>
            </w:r>
          </w:p>
        </w:tc>
        <w:tc>
          <w:tcPr>
            <w:tcW w:type="dxa" w:w="2570"/>
            <w:shd w:fill="FFF7E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Complementar, se aumentar cobertura</w:t>
            </w:r>
          </w:p>
        </w:tc>
      </w:tr>
      <w:tr>
        <w:tc>
          <w:tcPr>
            <w:tcW w:type="dxa" w:w="257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257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50106446 — Vista explodida</w:t>
            </w:r>
          </w:p>
        </w:tc>
        <w:tc>
          <w:tcPr>
            <w:tcW w:type="dxa" w:w="257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Família W22 monofásica; ontologia de componentes</w:t>
            </w:r>
          </w:p>
        </w:tc>
        <w:tc>
          <w:tcPr>
            <w:tcW w:type="dxa" w:w="2570"/>
            <w:shd w:fill="E8F5E9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Incluir com curadoria manual</w:t>
            </w:r>
          </w:p>
        </w:tc>
      </w:tr>
      <w:tr>
        <w:tc>
          <w:tcPr>
            <w:tcW w:type="dxa" w:w="257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257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50032749 — Especificação de motores</w:t>
            </w:r>
          </w:p>
        </w:tc>
        <w:tc>
          <w:tcPr>
            <w:tcW w:type="dxa" w:w="2570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Guia geral de placa, IP, IC, torque e isolamento</w:t>
            </w:r>
          </w:p>
        </w:tc>
        <w:tc>
          <w:tcPr>
            <w:tcW w:type="dxa" w:w="2570"/>
            <w:shd w:fill="FFF7E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Contexto com peso inferior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80"/>
      </w:pPr>
      <w:r>
        <w:t>3.3 Fonte 1 — manual geral WEG 50033244</w:t>
      </w:r>
    </w:p>
    <w:p>
      <w:pPr>
        <w:keepLines w:val="0"/>
        <w:spacing w:before="0" w:after="100" w:line="269" w:lineRule="auto"/>
      </w:pPr>
      <w:r>
        <w:rPr>
          <w:b w:val="0"/>
        </w:rPr>
        <w:t>É a fonte operacional principal. A cópia oficial foi verificada diretamente: revisão 43, abril de 2026, 233 páginas, 16.329.568 bytes, pesquisável e sem JavaScript incorporado. Abrange motores de indução monofásicos e cabe nos limites V1 de 25 MB e 400 páginas.</w:t>
      </w:r>
    </w:p>
    <w:p>
      <w:pPr>
        <w:pStyle w:val="ListBullet"/>
        <w:spacing w:after="60"/>
        <w:ind w:left="360" w:hanging="230"/>
      </w:pPr>
      <w:r>
        <w:rPr>
          <w:b w:val="0"/>
        </w:rPr>
        <w:t>Cobertura: recebimento, placa, segurança, manuseio, armazenamento, resistência de isolamento, instalação, conexão, proteção, operação, vibração, ruído, temperatura, rolamentos, lubrificação, manutenção e problemas/soluções.</w:t>
      </w:r>
    </w:p>
    <w:p>
      <w:pPr>
        <w:pStyle w:val="ListBullet"/>
        <w:spacing w:after="60"/>
        <w:ind w:left="360" w:hanging="230"/>
      </w:pPr>
      <w:r>
        <w:rPr>
          <w:b w:val="0"/>
        </w:rPr>
        <w:t>SHA-256 da cópia verificada: 0EB6265CC1BAFC7ED90D4CD91F64E87597063B841836373F951E7E753BAD10D0.</w:t>
      </w:r>
    </w:p>
    <w:p>
      <w:pPr>
        <w:pStyle w:val="ListBullet"/>
        <w:spacing w:after="60"/>
        <w:ind w:left="360" w:hanging="230"/>
      </w:pPr>
      <w:r>
        <w:rPr>
          <w:b w:val="0"/>
        </w:rPr>
        <w:t>O URL foi atualizado in-place pela WEG; conferir revisão/data no PDF e recalcular o hash em cada draft.</w:t>
      </w:r>
    </w:p>
    <w:p>
      <w:hyperlink r:id="rId13">
        <w:r>
          <w:rPr>
            <w:color w:val="005EB8"/>
            <w:u w:val="single"/>
          </w:rPr>
          <w:t>Abrir o PDF oficial 50033244</w:t>
        </w:r>
      </w:hyperlink>
    </w:p>
    <w:p>
      <w:pPr>
        <w:pStyle w:val="Heading3"/>
        <w:keepNext/>
        <w:spacing w:before="160" w:after="80"/>
      </w:pPr>
      <w:r>
        <w:t>3.4 Fonte 2 — guia WEG 50031070/21</w:t>
      </w:r>
    </w:p>
    <w:p>
      <w:pPr>
        <w:keepLines w:val="0"/>
        <w:spacing w:before="0" w:after="100" w:line="269" w:lineRule="auto"/>
      </w:pPr>
      <w:r>
        <w:rPr>
          <w:b w:val="0"/>
        </w:rPr>
        <w:t>Documento em português, enxuto e explicitamente aplicável a motores de indução monofásicos. Traz orientações de segurança, armazenamento, base e alinhamento, ventilação, drenagem, aterramento, caixa de ligação e capacitores. É complementar ao 50033244; incluir somente se os evals demonstrarem ganho de cobertura sem respostas conflitantes. Registrar revisão, data, URL e SHA no upload.</w:t>
      </w:r>
    </w:p>
    <w:p>
      <w:hyperlink r:id="rId14">
        <w:r>
          <w:rPr>
            <w:color w:val="005EB8"/>
            <w:u w:val="single"/>
          </w:rPr>
          <w:t>Abrir o PDF oficial 50031070/21</w:t>
        </w:r>
      </w:hyperlink>
    </w:p>
    <w:p>
      <w:pPr>
        <w:pStyle w:val="Heading3"/>
        <w:keepNext/>
        <w:spacing w:before="160" w:after="80"/>
      </w:pPr>
      <w:r>
        <w:t>3.5 Fonte 3 — vista explodida W22 monofásica</w:t>
      </w:r>
    </w:p>
    <w:p>
      <w:pPr>
        <w:keepLines w:val="0"/>
        <w:spacing w:before="0" w:after="100" w:line="269" w:lineRule="auto"/>
      </w:pPr>
      <w:r>
        <w:rPr>
          <w:b w:val="0"/>
        </w:rPr>
        <w:t>O documento 50106446, revisão 00, de março de 2021, mapeia componentes da família: placa e caixa de bornes, aterramento, capacitor, ventilador, tampa, rolamentos, V-rings, platinado/chave centrífuga, rotor, estator e dreno. Como é uma página visual, deve virar um glossário curado; não atribuir códigos de peça que o documento não traz.</w:t>
      </w:r>
    </w:p>
    <w:p>
      <w:hyperlink r:id="rId15">
        <w:r>
          <w:rPr>
            <w:color w:val="005EB8"/>
            <w:u w:val="single"/>
          </w:rPr>
          <w:t>Abrir a vista explodida oficial</w:t>
        </w:r>
      </w:hyperlink>
    </w:p>
    <w:p>
      <w:pPr>
        <w:pStyle w:val="Heading3"/>
        <w:keepNext/>
        <w:spacing w:before="160" w:after="80"/>
      </w:pPr>
      <w:r>
        <w:t>3.6 Fonte 4 — guia de especificação 50032749</w:t>
      </w:r>
    </w:p>
    <w:p>
      <w:pPr>
        <w:keepLines w:val="0"/>
        <w:spacing w:before="0" w:after="100" w:line="269" w:lineRule="auto"/>
      </w:pPr>
      <w:r>
        <w:rPr>
          <w:b w:val="0"/>
        </w:rPr>
        <w:t>Útil para conceitos de placa, torque e partida, classes térmicas, isolamento, grau IP e método IC. É um guia geral: só entra com peso inferior e nunca prevalece sobre o exemplar, o SKU ou o manual operacional.</w:t>
      </w:r>
    </w:p>
    <w:p>
      <w:hyperlink r:id="rId16">
        <w:r>
          <w:rPr>
            <w:color w:val="005EB8"/>
            <w:u w:val="single"/>
          </w:rPr>
          <w:t>Abrir o guia oficial 50032749</w:t>
        </w:r>
      </w:hyperlink>
    </w:p>
    <w:p>
      <w:pPr>
        <w:pStyle w:val="Heading2"/>
        <w:keepNext/>
        <w:spacing w:before="160" w:after="80"/>
      </w:pPr>
      <w:r>
        <w:t>3.7 Instrumentação declarada — Pepperl+Fuchs VIM32PL</w:t>
      </w:r>
    </w:p>
    <w:p>
      <w:pPr>
        <w:keepLines w:val="0"/>
        <w:spacing w:before="0" w:after="100" w:line="269" w:lineRule="auto"/>
      </w:pPr>
      <w:r>
        <w:rPr>
          <w:b w:val="0"/>
        </w:rPr>
        <w:t>O PDF fornecido por Luis corresponde à ficha oficial 70140695-100001, emitida em 07/01/2026, para o modelo VIM32PL-E1AC8-0RE-IO-1V1401. A cópia recebida tem quatro páginas e SHA-256 3DA16166940AF40D941BFB8F3888E941FFD429F8EBDD202D3C8A7011D405CF4E.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Especificação confirmada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Tratamento no TwinOps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Tecnologia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MEMS capacitivo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Registrar modelo e eixo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Velocidade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v-rms 0–128 mm/s; resolução 0,01 mm/s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Canal/unidade/estatística explícitos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Aceleração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a-rms 0–10 g; resolução 0,01 g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Separar RMS de pico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Temperatura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−40–85 °C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Não chamar de temperatura do enrolamento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Banda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10–1000 Hz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Ausência fora da banda não prova normalidade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Processamento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média RMS 2 s; amostragem interna 8 kHz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Não confundir com taxa da API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IO-Link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1.1; 16 bytes; ciclo mín. 5 ms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Obter IODD, escala, status e bytes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b w:val="0"/>
        </w:rPr>
        <w:t>Os 16 bytes de processo podem carregar velocidade RMS, aceleração de pico, aceleração RMS e temperatura. A ficha não publica de forma inequívoca o range/precisão do canal de pico; ele não deve herdar automaticamente o range de a-rms.</w:t>
      </w:r>
    </w:p>
    <w:p>
      <w:pPr>
        <w:pStyle w:val="ListBullet"/>
        <w:spacing w:after="60"/>
        <w:ind w:left="360" w:hanging="230"/>
      </w:pPr>
      <w:r>
        <w:rPr>
          <w:b w:val="0"/>
        </w:rPr>
        <w:t>Exatidão publicada somente no ponto de calibração de 90% do range a 159,2 Hz: ±0,1 mm/s e ±0,01 g. Não generalizar para toda a banda.</w:t>
      </w:r>
    </w:p>
    <w:p>
      <w:pPr>
        <w:pStyle w:val="ListBullet"/>
        <w:spacing w:after="60"/>
        <w:ind w:left="360" w:hanging="230"/>
      </w:pPr>
      <w:r>
        <w:rPr>
          <w:b w:val="0"/>
        </w:rPr>
        <w:t>Vendor ID 1; Device ID 5308417. Esses identificadores devem validar o dispositivo no master IO-Link.</w:t>
      </w:r>
    </w:p>
    <w:p>
      <w:pPr>
        <w:pStyle w:val="ListBullet"/>
        <w:spacing w:after="60"/>
        <w:ind w:left="360" w:hanging="230"/>
      </w:pPr>
      <w:r>
        <w:rPr>
          <w:b w:val="0"/>
        </w:rPr>
        <w:t>O manual VIM3* exige superfície limpa, plana e rígida, face assentada, rosca M8 a 8 Nm e conector M12 até 0,4 Nm; posição, eixo e aterramento afetam a evidência.</w:t>
      </w:r>
    </w:p>
    <w:p>
      <w:pPr>
        <w:pStyle w:val="ListBullet"/>
        <w:spacing w:after="60"/>
        <w:ind w:left="360" w:hanging="230"/>
      </w:pPr>
      <w:r>
        <w:rPr>
          <w:b w:val="0"/>
        </w:rPr>
        <w:t>A faixa de velocidade diminui com a frequência: no exemplo da variante de 128 mm/s, 103 mm/s a 250 Hz, 64 mm/s a 400 Hz e 25 mm/s a 1000 Hz.</w:t>
      </w:r>
    </w:p>
    <w:p>
      <w:hyperlink r:id="rId17">
        <w:r>
          <w:rPr>
            <w:color w:val="005EB8"/>
            <w:u w:val="single"/>
          </w:rPr>
          <w:t>Página oficial do VIM32PL</w:t>
        </w:r>
      </w:hyperlink>
      <w:r>
        <w:t xml:space="preserve">  •  </w:t>
      </w:r>
      <w:hyperlink r:id="rId18">
        <w:r>
          <w:rPr>
            <w:color w:val="005EB8"/>
            <w:u w:val="single"/>
          </w:rPr>
          <w:t>Ficha técnica oficial</w:t>
        </w:r>
      </w:hyperlink>
      <w:r>
        <w:t xml:space="preserve">  •  </w:t>
      </w:r>
      <w:hyperlink r:id="rId19">
        <w:r>
          <w:rPr>
            <w:color w:val="005EB8"/>
            <w:u w:val="single"/>
          </w:rPr>
          <w:t>Manual VIM3* DOCT-8114</w:t>
        </w:r>
      </w:hyperlink>
    </w:p>
    <w:p>
      <w:pPr>
        <w:pStyle w:val="Heading1"/>
        <w:keepNext/>
        <w:spacing w:before="200" w:after="80"/>
      </w:pPr>
      <w:r>
        <w:t>4. Materiais encontrados que não devem responder pelo ativo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Catálogos W22 220/440 V (50069982 / 50070884)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Tensão e revisão diferentes; divergência em dados de família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Obter versão por serial; não promover números ao SKU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W22 trifásico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Circuito, partida e critérios elétricos diferentes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Excluir por `phaseCount`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W22X / W22 Ex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Construção de área classificada não confirmada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Excluir por família e proteção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W22 Water Cooled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Refrigeração incompatível com IC411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Excluir por `coolingMethod`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W22/W01 NEMA 230 V — 50076574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Mercado, carcaça e tensão diferentes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Excluir por padrão e tensão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Guias PWM/VFD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Não há evidência de inversor e a aplicabilidade ao monofásico é incerta</w:t>
            </w:r>
          </w:p>
        </w:tc>
        <w:tc>
          <w:tcPr>
            <w:tcW w:type="dxa" w:w="3427"/>
            <w:shd w:fill="FFF7E6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Só habilitar após confirmação WEG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WEG Motor Scan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O sensor declarado é Pepperl+Fuchs VIM32PL</w:t>
            </w:r>
          </w:p>
        </w:tc>
        <w:tc>
          <w:tcPr>
            <w:tcW w:type="dxa" w:w="3427"/>
            <w:shd w:fill="FDECE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Excluir salvo evidência física adicional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b w:val="0"/>
        </w:rPr>
        <w:t>A semelhança lexical de “W22”, “3 cv”, “2 polos” ou “100L” não é suficiente. O filtro de aplicabilidade deve ocorrer antes do ranking vetorial.</w:t>
      </w:r>
    </w:p>
    <w:p>
      <w:pPr>
        <w:pStyle w:val="Heading1"/>
        <w:keepNext/>
        <w:spacing w:before="200" w:after="80"/>
      </w:pPr>
      <w:r>
        <w:t>5. Segurança e normas</w:t>
      </w:r>
    </w:p>
    <w:p>
      <w:pPr>
        <w:pStyle w:val="Heading2"/>
        <w:keepNext/>
        <w:spacing w:before="160" w:after="80"/>
      </w:pPr>
      <w:r>
        <w:t>5.1 Regulamentos brasileiros em corpus separado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Vigência / papel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Uso no RAG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NR-10 — texto atual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Vigente até 31/05/2027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Guardrails e citação `safety_regulation`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NR-10 — Portaria MTE 737/2026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Entra em vigor em 01/06/2027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Registrar `effectiveFrom`; não responder como vigente antes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NR-12 consolidada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Segurança da máquina completa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Proteções, comandos, manutenção e documentação</w:t>
            </w:r>
          </w:p>
        </w:tc>
      </w:tr>
    </w:tbl>
    <w:p>
      <w:pPr>
        <w:spacing w:after="0"/>
      </w:pPr>
    </w:p>
    <w:p>
      <w:hyperlink r:id="rId20">
        <w:r>
          <w:rPr>
            <w:color w:val="005EB8"/>
            <w:u w:val="single"/>
          </w:rPr>
          <w:t>NR-10 vigente até 31/05/2027</w:t>
        </w:r>
      </w:hyperlink>
    </w:p>
    <w:p>
      <w:hyperlink r:id="rId21">
        <w:r>
          <w:rPr>
            <w:color w:val="005EB8"/>
            <w:u w:val="single"/>
          </w:rPr>
          <w:t>Nova NR-10 — vigência em 01/06/2027</w:t>
        </w:r>
      </w:hyperlink>
    </w:p>
    <w:p>
      <w:hyperlink r:id="rId22">
        <w:r>
          <w:rPr>
            <w:color w:val="005EB8"/>
            <w:u w:val="single"/>
          </w:rPr>
          <w:t>NR-12 consolidada</w:t>
        </w:r>
      </w:hyperlink>
    </w:p>
    <w:p>
      <w:pPr>
        <w:keepLines w:val="0"/>
        <w:spacing w:before="0" w:after="100" w:line="269" w:lineRule="auto"/>
      </w:pPr>
      <w:r>
        <w:rPr>
          <w:b w:val="0"/>
        </w:rPr>
        <w:t>A interface V1 prevê citações de manual e telemetria. Se regulamentos forem mostrados ao usuário, criar o tipo `safety_regulation`; até lá, usar NR-10/NR-12 em guardrails e avaliações, sem misturá-las silenciosamente em “Segundo o manual”.</w:t>
      </w:r>
    </w:p>
    <w:p>
      <w:pPr>
        <w:pStyle w:val="Heading2"/>
        <w:keepNext/>
        <w:spacing w:before="160" w:after="80"/>
      </w:pPr>
      <w:r>
        <w:t>5.2 Normas pagas — metadados, não texto integral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Norma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Aplicabilidade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Limite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ABNT NBR 17094-2:2016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Requisitos de motores de indução monofásicos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Licença paga; título/edição/escopo apenas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ABNT NBR 5410:2004 VC 2008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Instalações de baixa tensão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Não define saúde mecânica do motor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IEC 60034-1:2026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Rating e desempenho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Copyright; metadados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IEC 60034-5:2020 + COR1:2024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Código IP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IP55 não significa adequação universal ao ambiente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IEC 60034-6:1991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Código IC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Contexto para IC411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IEC 60034-7:2020 + COR1:2023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Montagem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B3D ainda requer convenção/desenho WEG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IEC 60034-8:2026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Bornes e sentido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Diagrama físico do exemplar prevalece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ISO 17359:2018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Programa de monitoramento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Referência de engenharia, não limiar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ISO 13373-1:2002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Medição de vibração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Procedimentos gerais, não diagnóstico automático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ISO 20816-1:2016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Avaliação geral de vibração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Sem limite automaticamente válido para este ativo</w:t>
            </w:r>
          </w:p>
        </w:tc>
      </w:tr>
    </w:tbl>
    <w:p>
      <w:pPr>
        <w:spacing w:after="0"/>
      </w:pPr>
    </w:p>
    <w:p>
      <w:hyperlink r:id="rId23">
        <w:r>
          <w:rPr>
            <w:color w:val="005EB8"/>
            <w:u w:val="single"/>
          </w:rPr>
          <w:t>IEC 60034-1</w:t>
        </w:r>
      </w:hyperlink>
      <w:r>
        <w:t xml:space="preserve">  •  </w:t>
      </w:r>
      <w:hyperlink r:id="rId24">
        <w:r>
          <w:rPr>
            <w:color w:val="005EB8"/>
            <w:u w:val="single"/>
          </w:rPr>
          <w:t>IEC 60034-5</w:t>
        </w:r>
      </w:hyperlink>
      <w:r>
        <w:t xml:space="preserve">  •  </w:t>
      </w:r>
      <w:hyperlink r:id="rId25">
        <w:r>
          <w:rPr>
            <w:color w:val="005EB8"/>
            <w:u w:val="single"/>
          </w:rPr>
          <w:t>IEC 60034-6</w:t>
        </w:r>
      </w:hyperlink>
      <w:r>
        <w:t xml:space="preserve">  •  </w:t>
      </w:r>
      <w:hyperlink r:id="rId26">
        <w:r>
          <w:rPr>
            <w:color w:val="005EB8"/>
            <w:u w:val="single"/>
          </w:rPr>
          <w:t>IEC 60034-7</w:t>
        </w:r>
      </w:hyperlink>
      <w:r>
        <w:t xml:space="preserve">  •  </w:t>
      </w:r>
      <w:hyperlink r:id="rId27">
        <w:r>
          <w:rPr>
            <w:color w:val="005EB8"/>
            <w:u w:val="single"/>
          </w:rPr>
          <w:t>IEC 60034-8</w:t>
        </w:r>
      </w:hyperlink>
      <w:r>
        <w:t xml:space="preserve">  •  </w:t>
      </w:r>
      <w:hyperlink r:id="rId28">
        <w:r>
          <w:rPr>
            <w:color w:val="005EB8"/>
            <w:u w:val="single"/>
          </w:rPr>
          <w:t>ISO 17359</w:t>
        </w:r>
      </w:hyperlink>
      <w:r>
        <w:t xml:space="preserve">  •  </w:t>
      </w:r>
      <w:hyperlink r:id="rId29">
        <w:r>
          <w:rPr>
            <w:color w:val="005EB8"/>
            <w:u w:val="single"/>
          </w:rPr>
          <w:t>ISO 13373-1</w:t>
        </w:r>
      </w:hyperlink>
      <w:r>
        <w:t xml:space="preserve">  •  </w:t>
      </w:r>
      <w:hyperlink r:id="rId30">
        <w:r>
          <w:rPr>
            <w:color w:val="005EB8"/>
            <w:u w:val="single"/>
          </w:rPr>
          <w:t>ISO 20816-1</w:t>
        </w:r>
      </w:hyperlink>
    </w:p>
    <w:p>
      <w:pPr>
        <w:pStyle w:val="Heading2"/>
        <w:keepNext/>
        <w:spacing w:before="160" w:after="80"/>
      </w:pPr>
      <w:r>
        <w:t>5.3 Limiares que não se aplicam diretamente</w:t>
      </w:r>
    </w:p>
    <w:p>
      <w:pPr>
        <w:pStyle w:val="ListBullet"/>
        <w:spacing w:after="60"/>
        <w:ind w:left="360" w:hanging="230"/>
      </w:pPr>
      <w:r>
        <w:rPr>
          <w:b w:val="0"/>
        </w:rPr>
        <w:t>IEC 60034-14:2018: ensaio de aceitação de fábrica de máquinas CC e CA trifásicas, normalmente desacopladas; não é base direta para este monofásico instalado.</w:t>
      </w:r>
    </w:p>
    <w:p>
      <w:pPr>
        <w:pStyle w:val="ListBullet"/>
        <w:spacing w:after="60"/>
        <w:ind w:left="360" w:hanging="230"/>
      </w:pPr>
      <w:r>
        <w:rPr>
          <w:b w:val="0"/>
        </w:rPr>
        <w:t>ISO 20816-3:2022: escopo acima de 15 kW; o motor tem aproximadamente 2,2 kW.</w:t>
      </w:r>
    </w:p>
    <w:p>
      <w:pPr>
        <w:pStyle w:val="ListBullet"/>
        <w:spacing w:after="60"/>
        <w:ind w:left="360" w:hanging="230"/>
      </w:pPr>
      <w:r>
        <w:rPr>
          <w:b w:val="0"/>
        </w:rPr>
        <w:t>ISO 20958:2013: assinatura elétrica de motores de indução trifásicos.</w:t>
      </w:r>
    </w:p>
    <w:p>
      <w:pPr>
        <w:pStyle w:val="ListBullet"/>
        <w:spacing w:after="60"/>
        <w:ind w:left="360" w:hanging="230"/>
      </w:pPr>
      <w:r>
        <w:rPr>
          <w:b w:val="0"/>
        </w:rPr>
        <w:t>IEEE 43-2013: está Inactive-Reserved; não tratar seus limites como autoridade atual sem engenharia e revisão normativa.</w:t>
      </w:r>
    </w:p>
    <w:p>
      <w:pPr>
        <w:keepLines w:val="0"/>
        <w:spacing w:before="0" w:after="100" w:line="269" w:lineRule="auto"/>
      </w:pPr>
      <w:r>
        <w:rPr>
          <w:b w:val="0"/>
        </w:rPr>
        <w:t>Não foi localizada uma fonte pública, vigente e diretamente aplicável que forneça um limiar universal de vibração para este motor monofásico instalado. A V1 deve usar baseline do próprio ativo, tendência, qualidade do sensor e validação de engenharia — sem converter score em probabilidade de falha.</w:t>
      </w:r>
    </w:p>
    <w:p>
      <w:pPr>
        <w:pStyle w:val="Heading1"/>
        <w:keepNext/>
        <w:spacing w:before="200" w:after="80"/>
      </w:pPr>
      <w:r>
        <w:t>6. Direitos de uso e gate de publicação</w:t>
      </w:r>
    </w:p>
    <w:p>
      <w:pPr>
        <w:keepLines w:val="0"/>
        <w:spacing w:before="0" w:after="100" w:line="269" w:lineRule="auto"/>
      </w:pPr>
      <w:r>
        <w:rPr>
          <w:b w:val="0"/>
        </w:rPr>
        <w:t>Acesso público para leitura não equivale a autorização para armazenar texto extraído, embeddings e trechos num chat público. Os termos WEG afirmam titularidade e restringem reprodução, modificação, distribuição ou exploração não autorizadas. A documentação Pepperl+Fuchs também deve receber `rightsStatus` próprio antes da publicação.</w:t>
      </w:r>
    </w:p>
    <w:p>
      <w:hyperlink r:id="rId31">
        <w:r>
          <w:rPr>
            <w:color w:val="005EB8"/>
            <w:u w:val="single"/>
          </w:rPr>
          <w:t>Termos e Condições de Uso — WEG</w:t>
        </w:r>
      </w:hyperlink>
    </w:p>
    <w:p>
      <w:pPr>
        <w:pStyle w:val="ListNumber"/>
        <w:spacing w:after="60"/>
        <w:ind w:left="403" w:hanging="259"/>
      </w:pPr>
      <w:r>
        <w:rPr>
          <w:b w:val="0"/>
        </w:rPr>
        <w:t>Obter autorização escrita dos titulares ou parecer jurídico específico para o corpus público.</w:t>
      </w:r>
    </w:p>
    <w:p>
      <w:pPr>
        <w:pStyle w:val="ListNumber"/>
        <w:spacing w:after="60"/>
        <w:ind w:left="403" w:hanging="259"/>
      </w:pPr>
      <w:r>
        <w:rPr>
          <w:b w:val="0"/>
        </w:rPr>
        <w:t>Persistir `rightsStatus`, escopo da autorização, revisão e data de validação.</w:t>
      </w:r>
    </w:p>
    <w:p>
      <w:pPr>
        <w:pStyle w:val="ListNumber"/>
        <w:spacing w:after="60"/>
        <w:ind w:left="403" w:hanging="259"/>
      </w:pPr>
      <w:r>
        <w:rPr>
          <w:b w:val="0"/>
        </w:rPr>
        <w:t>Até a liberação, manter documentos WEG em Preview protegido ou usar apenas metadados próprios e links oficiais.</w:t>
      </w:r>
    </w:p>
    <w:p>
      <w:pPr>
        <w:pStyle w:val="ListNumber"/>
        <w:spacing w:after="60"/>
        <w:ind w:left="403" w:hanging="259"/>
      </w:pPr>
      <w:r>
        <w:rPr>
          <w:b w:val="0"/>
        </w:rPr>
        <w:t>Manter ABNT/IEC/ISO pagas fora do texto integral, salvo licença explícita compatível com processamento e acesso multiusuário.</w:t>
      </w:r>
    </w:p>
    <w:p>
      <w:pPr>
        <w:pStyle w:val="Heading1"/>
        <w:keepNext/>
        <w:spacing w:before="200" w:after="80"/>
      </w:pPr>
      <w:r>
        <w:t>7. Aplicabilidade, metadados e retrieval</w:t>
      </w:r>
    </w:p>
    <w:p>
      <w:pPr>
        <w:keepLines w:val="0"/>
        <w:spacing w:before="0" w:after="100" w:line="269" w:lineRule="auto"/>
      </w:pPr>
      <w:r>
        <w:rPr>
          <w:b w:val="0"/>
        </w:rPr>
        <w:t>A classificação de aplicabilidade precisa ser uma etapa determinística anterior à busca vetorial. Um chunk incompatível não pode competir no ranking apenas por conter termos semelhantes.</w:t>
      </w:r>
    </w:p>
    <w:p>
      <w:pPr>
        <w:jc w:val="center"/>
      </w:pPr>
      <w:r>
        <w:rPr>
          <w:rFonts w:ascii="Aptos Mono" w:hAnsi="Aptos Mono"/>
          <w:b/>
          <w:color w:val="005EB8"/>
          <w:sz w:val="21"/>
        </w:rPr>
        <w:t>installed_asset  &gt;  exact_motor/exact_sensor  &gt;  exact_family  &gt;  manufacturer_general  &gt;  safety_regulation  &gt;  normative_metadata</w:t>
      </w:r>
    </w:p>
    <w:p>
      <w:pPr>
        <w:pStyle w:val="ListBullet"/>
        <w:spacing w:after="60"/>
        <w:ind w:left="360" w:hanging="230"/>
      </w:pPr>
      <w:r>
        <w:rPr>
          <w:b w:val="0"/>
        </w:rPr>
        <w:t>Bloquear chunks quando fase, código do produto, tensão, refrigeração ou montagem conflitarem com o ativo.</w:t>
      </w:r>
    </w:p>
    <w:p>
      <w:pPr>
        <w:pStyle w:val="ListBullet"/>
        <w:spacing w:after="60"/>
        <w:ind w:left="360" w:hanging="230"/>
      </w:pPr>
      <w:r>
        <w:rPr>
          <w:b w:val="0"/>
        </w:rPr>
        <w:t>Não promover valor de tabela de família para `exact_product`.</w:t>
      </w:r>
    </w:p>
    <w:p>
      <w:pPr>
        <w:pStyle w:val="ListBullet"/>
        <w:spacing w:after="60"/>
        <w:ind w:left="360" w:hanging="230"/>
      </w:pPr>
      <w:r>
        <w:rPr>
          <w:b w:val="0"/>
        </w:rPr>
        <w:t>Buscar `safety_regulation` separadamente e mostrar citação tipada.</w:t>
      </w:r>
    </w:p>
    <w:p>
      <w:pPr>
        <w:pStyle w:val="ListBullet"/>
        <w:spacing w:after="60"/>
        <w:ind w:left="360" w:hanging="230"/>
      </w:pPr>
      <w:r>
        <w:rPr>
          <w:b w:val="0"/>
        </w:rPr>
        <w:t>Quando fontes oficiais divergirem, declarar o conflito e solicitar serial/placa.</w:t>
      </w:r>
    </w:p>
    <w:p>
      <w:pPr>
        <w:pStyle w:val="ListBullet"/>
        <w:spacing w:after="60"/>
        <w:ind w:left="360" w:hanging="230"/>
      </w:pPr>
      <w:r>
        <w:rPr>
          <w:b w:val="0"/>
        </w:rPr>
        <w:t>Ligação, reparo e desmontagem exigem evidência exata e validação humana.</w:t>
      </w:r>
    </w:p>
    <w:p>
      <w:pPr>
        <w:pStyle w:val="ListBullet"/>
        <w:spacing w:after="60"/>
        <w:ind w:left="360" w:hanging="230"/>
      </w:pPr>
      <w:r>
        <w:rPr>
          <w:b w:val="0"/>
        </w:rPr>
        <w:t>Separar capacidade documental do sensor de telemetria observada; range e resolução não provam recepção válida.</w:t>
      </w:r>
    </w:p>
    <w:p>
      <w:pPr>
        <w:pStyle w:val="Heading2"/>
        <w:keepNext/>
        <w:spacing w:before="160" w:after="80"/>
      </w:pPr>
      <w:r>
        <w:t>7.1 Metadados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sourceClass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publisher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productCode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serialNumber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motorFamily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phaseCount</w:t>
            </w:r>
          </w:p>
        </w:tc>
      </w:tr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powerCv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poles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frame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voltage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frequency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mounting</w:t>
            </w:r>
          </w:p>
        </w:tc>
      </w:tr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protectionDegree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coolingMethod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documentCode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revision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publishedAt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effectiveFrom</w:t>
            </w:r>
          </w:p>
        </w:tc>
      </w:tr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effectiveUntil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language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applicability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exclusions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rightsStatus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sourceUrl</w:t>
            </w:r>
          </w:p>
        </w:tc>
      </w:tr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sourceSha256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derivedSha256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extractionTransform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sensorModel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sensorLocation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measurementAxis</w:t>
            </w:r>
          </w:p>
        </w:tc>
      </w:tr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measurementChannel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statistic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unit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frequencyBandHz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averagingWindowMs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internalSamplingRateHz</w:t>
            </w:r>
          </w:p>
        </w:tc>
      </w:tr>
      <w:tr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ioLinkCycleMs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ioLinkVendorId</w:t>
            </w:r>
          </w:p>
        </w:tc>
        <w:tc>
          <w:tcPr>
            <w:tcW w:type="dxa" w:w="3427"/>
            <w:shd w:fill="EFF6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ioLinkDeviceId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  <w:t>qualityStatus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 Mono" w:hAnsi="Aptos Mono"/>
                <w:b w:val="0"/>
                <w:color w:val="1F2937"/>
                <w:sz w:val="17"/>
              </w:rPr>
            </w:r>
          </w:p>
        </w:tc>
      </w:tr>
    </w:tbl>
    <w:p>
      <w:pPr>
        <w:pStyle w:val="Heading1"/>
        <w:keepNext/>
        <w:spacing w:before="200" w:after="80"/>
      </w:pPr>
      <w:r>
        <w:t>8. Implicações para a ingestão V1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Questão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Recomendação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50033244 no URL mutável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Revisão pode mudar silenciosamente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Validar frontispício, tamanho e SHA a cada draft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Vista explodida visual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Chunks pobres e relações ambíguas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Criar glossário curado com origem de página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Regulamentos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Mistura com “manual”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Namespace e citação `safety_regulation`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Catálogo de família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Número transferido ao SKU errado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Filtros de escopo antes do ranking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Ciclo IO-Link vs RMS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Cadência confundida com valor novo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Persistir janela, ciclo e timestamp separadamente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Montagem do sensor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Eixo/rigidez/terra alteram a leitura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Metadados e checklist de qualidade obrigatórios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Direitos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Exposição pública não autorizada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Gate jurídico independente da ativação técnica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b w:val="0"/>
        </w:rPr>
        <w:t>A cópia Rev. 43 cabe integralmente na V1, portanto a ingestão não precisa dividir o PDF. Se uma derivação for criada no futuro, preservar simultaneamente o hash do original, o hash do derivado e as páginas de origem.</w:t>
      </w:r>
    </w:p>
    <w:p>
      <w:pPr>
        <w:keepLines w:val="0"/>
        <w:spacing w:before="0" w:after="100" w:line="269" w:lineRule="auto"/>
      </w:pPr>
      <w:r>
        <w:rPr>
          <w:b w:val="0"/>
        </w:rPr>
        <w:t>A ficha 70140695-100001 entra como `sensor_datasheet`; o DOCT-8114, como `sensor_family_manual`. O snapshot deve conservar canal, estatística, unidade, timestamp, qualidade, posição e eixo. O ciclo mínimo de 5 ms não substitui o timestamp nem elimina a janela RMS de 2 s.</w:t>
      </w:r>
    </w:p>
    <w:p>
      <w:pPr>
        <w:pStyle w:val="Heading1"/>
        <w:keepNext/>
        <w:spacing w:before="200" w:after="80"/>
      </w:pPr>
      <w:r>
        <w:t>9. Perguntas que devem ser recusadas por enquanto</w:t>
      </w:r>
    </w:p>
    <w:p>
      <w:pPr>
        <w:pStyle w:val="ListBullet"/>
        <w:spacing w:after="60"/>
        <w:ind w:left="360" w:hanging="230"/>
      </w:pPr>
      <w:r>
        <w:rPr>
          <w:b w:val="0"/>
        </w:rPr>
        <w:t>Corrente nominal em 127 V ou 220 V.</w:t>
      </w:r>
    </w:p>
    <w:p>
      <w:pPr>
        <w:pStyle w:val="ListBullet"/>
        <w:spacing w:after="60"/>
        <w:ind w:left="360" w:hanging="230"/>
      </w:pPr>
      <w:r>
        <w:rPr>
          <w:b w:val="0"/>
        </w:rPr>
        <w:t>Rotação nominal em carga.</w:t>
      </w:r>
    </w:p>
    <w:p>
      <w:pPr>
        <w:pStyle w:val="ListBullet"/>
        <w:spacing w:after="60"/>
        <w:ind w:left="360" w:hanging="230"/>
      </w:pPr>
      <w:r>
        <w:rPr>
          <w:b w:val="0"/>
        </w:rPr>
        <w:t>Fator de serviço, regime e classe de isolação do exemplar.</w:t>
      </w:r>
    </w:p>
    <w:p>
      <w:pPr>
        <w:pStyle w:val="ListBullet"/>
        <w:spacing w:after="60"/>
        <w:ind w:left="360" w:hanging="230"/>
      </w:pPr>
      <w:r>
        <w:rPr>
          <w:b w:val="0"/>
        </w:rPr>
        <w:t>Rolamentos, graxa e intervalo de relubrificação.</w:t>
      </w:r>
    </w:p>
    <w:p>
      <w:pPr>
        <w:pStyle w:val="ListBullet"/>
        <w:spacing w:after="60"/>
        <w:ind w:left="360" w:hanging="230"/>
      </w:pPr>
      <w:r>
        <w:rPr>
          <w:b w:val="0"/>
        </w:rPr>
        <w:t>Ligação, mudança de tensão ou inversão de rotação.</w:t>
      </w:r>
    </w:p>
    <w:p>
      <w:pPr>
        <w:pStyle w:val="ListBullet"/>
        <w:spacing w:after="60"/>
        <w:ind w:left="360" w:hanging="230"/>
      </w:pPr>
      <w:r>
        <w:rPr>
          <w:b w:val="0"/>
        </w:rPr>
        <w:t>Capacitor correto e presença/tipo de protetor térmico.</w:t>
      </w:r>
    </w:p>
    <w:p>
      <w:pPr>
        <w:pStyle w:val="ListBullet"/>
        <w:spacing w:after="60"/>
        <w:ind w:left="360" w:hanging="230"/>
      </w:pPr>
      <w:r>
        <w:rPr>
          <w:b w:val="0"/>
        </w:rPr>
        <w:t>Limiar de vibração que “prova” falha.</w:t>
      </w:r>
    </w:p>
    <w:p>
      <w:pPr>
        <w:pStyle w:val="ListBullet"/>
        <w:spacing w:after="60"/>
        <w:ind w:left="360" w:hanging="230"/>
      </w:pPr>
      <w:r>
        <w:rPr>
          <w:b w:val="0"/>
        </w:rPr>
        <w:t>Temperatura do sensor tratada como temperatura do enrolamento.</w:t>
      </w:r>
    </w:p>
    <w:p>
      <w:pPr>
        <w:pStyle w:val="ListBullet"/>
        <w:spacing w:after="60"/>
        <w:ind w:left="360" w:hanging="230"/>
      </w:pPr>
      <w:r>
        <w:rPr>
          <w:b w:val="0"/>
        </w:rPr>
        <w:t>Taxa interna de 8 kHz tratada como taxa da API.</w:t>
      </w:r>
    </w:p>
    <w:p>
      <w:pPr>
        <w:pStyle w:val="ListBullet"/>
        <w:spacing w:after="60"/>
        <w:ind w:left="360" w:hanging="230"/>
      </w:pPr>
      <w:r>
        <w:rPr>
          <w:b w:val="0"/>
        </w:rPr>
        <w:t>Range da aceleração de pico sem IODD/parametrização.</w:t>
      </w:r>
    </w:p>
    <w:p>
      <w:pPr>
        <w:pStyle w:val="ListBullet"/>
        <w:spacing w:after="60"/>
        <w:ind w:left="360" w:hanging="230"/>
      </w:pPr>
      <w:r>
        <w:rPr>
          <w:b w:val="0"/>
        </w:rPr>
        <w:t>Probabilidade de falha, causa raiz ou vida útil remanescente.</w:t>
      </w:r>
    </w:p>
    <w:p>
      <w:pPr>
        <w:keepLines w:val="0"/>
        <w:spacing w:before="0" w:after="100" w:line="269" w:lineRule="auto"/>
      </w:pPr>
      <w:r>
        <w:rPr>
          <w:b w:val="0"/>
        </w:rPr>
        <w:t>Resposta-padrão: explicar o que a fonte oficial confirma, distinguir 3600 rpm síncrona de rpm nominal, solicitar placa/diagrama e encaminhar qualquer intervenção elétrica ou reparo a profissional habilitado/assistência WEG.</w:t>
      </w:r>
    </w:p>
    <w:p>
      <w:pPr>
        <w:pStyle w:val="Heading1"/>
        <w:keepNext/>
        <w:spacing w:before="200" w:after="80"/>
      </w:pPr>
      <w:r>
        <w:t>10. Avaliações derivadas da pesquisa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5141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Casos de teste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Fatos diretos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Identidade do SKU; potência/polos/tensão; IP55; B3D; IC411; 3600 rpm síncrona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Aplicabilidade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Bloquear W22 trifásico, W22X, Water Cooled, NEMA 230 V e tabela 220/440 V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Evidência ausente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Corrente, rpm em carga, FS, regime, rolamentos, graxa, capacitor, proteção térmica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Segurança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NR-10 atual vs futura; desenergização; citation type separado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Condição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Baseline/tendência; telemetria ausente/stale; não transformar score em probabilidade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Sensor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v-rms vs a-rms vs pico; 8 kHz vs 5 ms vs janela 2 s; banda e saturação</w:t>
            </w:r>
          </w:p>
        </w:tc>
      </w:tr>
      <w:tr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Qualidade</w:t>
            </w:r>
          </w:p>
        </w:tc>
        <w:tc>
          <w:tcPr>
            <w:tcW w:type="dxa" w:w="5141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Eixo, ponto, torque, aterramento, timestamp, status IO-Link e escala</w:t>
            </w:r>
          </w:p>
        </w:tc>
      </w:tr>
      <w:tr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Robustez</w:t>
            </w:r>
          </w:p>
        </w:tc>
        <w:tc>
          <w:tcPr>
            <w:tcW w:type="dxa" w:w="5141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Prompt injection no PDF; hash divergente; revisão nova no mesmo URL; manual indisponível</w:t>
            </w:r>
          </w:p>
        </w:tc>
      </w:tr>
    </w:tbl>
    <w:p>
      <w:pPr>
        <w:spacing w:after="0"/>
      </w:pPr>
    </w:p>
    <w:p>
      <w:pPr>
        <w:keepLines w:val="0"/>
        <w:spacing w:before="0" w:after="100" w:line="269" w:lineRule="auto"/>
      </w:pPr>
      <w:r>
        <w:rPr>
          <w:b w:val="0"/>
        </w:rPr>
        <w:t>A avaliação deve premiar recusa correta tanto quanto resposta correta. Um sistema que responde fluentemente com dados de outro SKU falha, ainda que a frase pareça tecnicamente plausível.</w:t>
      </w:r>
    </w:p>
    <w:p>
      <w:pPr>
        <w:pStyle w:val="Heading1"/>
        <w:keepNext/>
        <w:spacing w:before="200" w:after="80"/>
      </w:pPr>
      <w:r>
        <w:t>11. Insumos necessários do equipamento instalado</w:t>
      </w:r>
    </w:p>
    <w:p>
      <w:pPr>
        <w:spacing w:after="60"/>
        <w:ind w:left="403" w:hanging="259"/>
      </w:pPr>
      <w:r>
        <w:rPr>
          <w:b w:val="0"/>
        </w:rPr>
        <w:t>1. Foto frontal, nítida e completa da placa de identificação.</w:t>
      </w:r>
    </w:p>
    <w:p>
      <w:pPr>
        <w:spacing w:after="60"/>
        <w:ind w:left="403" w:hanging="259"/>
      </w:pPr>
      <w:r>
        <w:rPr>
          <w:b w:val="0"/>
        </w:rPr>
        <w:t>2. Foto do QR/Data Matrix ou o número de série.</w:t>
      </w:r>
    </w:p>
    <w:p>
      <w:pPr>
        <w:spacing w:after="60"/>
        <w:ind w:left="403" w:hanging="259"/>
      </w:pPr>
      <w:r>
        <w:rPr>
          <w:b w:val="0"/>
        </w:rPr>
        <w:t>3. Exportação do WEG Data Viewer para esse serial.</w:t>
      </w:r>
    </w:p>
    <w:p>
      <w:pPr>
        <w:spacing w:after="60"/>
        <w:ind w:left="403" w:hanging="259"/>
      </w:pPr>
      <w:r>
        <w:rPr>
          <w:b w:val="0"/>
        </w:rPr>
        <w:t>4. Foto do esquema de ligação dentro da tampa/caixa de terminais.</w:t>
      </w:r>
    </w:p>
    <w:p>
      <w:pPr>
        <w:spacing w:after="60"/>
        <w:ind w:left="403" w:hanging="259"/>
      </w:pPr>
      <w:r>
        <w:rPr>
          <w:b w:val="0"/>
        </w:rPr>
        <w:t>5. Carga acionada e tipo de acoplamento: direto, polia/correia ou redutor.</w:t>
      </w:r>
    </w:p>
    <w:p>
      <w:pPr>
        <w:spacing w:after="60"/>
        <w:ind w:left="403" w:hanging="259"/>
      </w:pPr>
      <w:r>
        <w:rPr>
          <w:b w:val="0"/>
        </w:rPr>
        <w:t>6. Tensão realmente utilizada na instalação.</w:t>
      </w:r>
    </w:p>
    <w:p>
      <w:pPr>
        <w:spacing w:after="60"/>
        <w:ind w:left="403" w:hanging="259"/>
      </w:pPr>
      <w:r>
        <w:rPr>
          <w:b w:val="0"/>
        </w:rPr>
        <w:t>7. Confirmação dos capacitores e da proteção térmica instalados.</w:t>
      </w:r>
    </w:p>
    <w:p>
      <w:pPr>
        <w:spacing w:after="60"/>
        <w:ind w:left="403" w:hanging="259"/>
      </w:pPr>
      <w:r>
        <w:rPr>
          <w:b w:val="0"/>
        </w:rPr>
        <w:t>8. Foto do VIM32PL instalado e do ponto/eixo de montagem no motor.</w:t>
      </w:r>
    </w:p>
    <w:p>
      <w:pPr>
        <w:spacing w:after="60"/>
        <w:ind w:left="403" w:hanging="259"/>
      </w:pPr>
      <w:r>
        <w:rPr>
          <w:b w:val="0"/>
        </w:rPr>
        <w:t>9. Modelo do master IO-Link e exportação da configuração/parametrização.</w:t>
      </w:r>
    </w:p>
    <w:p>
      <w:pPr>
        <w:spacing w:after="60"/>
        <w:ind w:left="403" w:hanging="259"/>
      </w:pPr>
      <w:r>
        <w:rPr>
          <w:b w:val="0"/>
        </w:rPr>
        <w:t>10. IODD usada, firmware e mapeamento dos 16 bytes de processo.</w:t>
      </w:r>
    </w:p>
    <w:p>
      <w:pPr>
        <w:spacing w:after="60"/>
        <w:ind w:left="403" w:hanging="259"/>
      </w:pPr>
      <w:r>
        <w:rPr>
          <w:b w:val="0"/>
        </w:rPr>
        <w:t>11. Payloads reais com timestamp, status/qualidade e intervalo de coleta.</w:t>
      </w:r>
    </w:p>
    <w:p>
      <w:pPr>
        <w:spacing w:after="60"/>
        <w:ind w:left="403" w:hanging="259"/>
      </w:pPr>
      <w:r>
        <w:rPr>
          <w:b w:val="0"/>
        </w:rPr>
        <w:t>12. Autorização/licença para uso público dos documentos WEG e Pepperl+Fuchs, se já houver.</w:t>
      </w:r>
    </w:p>
    <w:p>
      <w:pPr>
        <w:pStyle w:val="Heading1"/>
        <w:keepNext/>
        <w:spacing w:before="200" w:after="80"/>
      </w:pPr>
      <w:r>
        <w:t>12. Decisão recomendada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Conteúdo</w:t>
            </w:r>
          </w:p>
        </w:tc>
        <w:tc>
          <w:tcPr>
            <w:tcW w:type="dxa" w:w="3427"/>
            <w:shd w:fill="1F293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Draft 1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SKU/placa + WEG 50033244 + VIM32PL 70140695 + DOCT-8114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Licença, SHA, montagem, IODD e aprovação de Luis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Draft 2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Adicionar 50031070/21 se trouxer ganho mensurável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Sem conflitos + evals</w:t>
            </w:r>
          </w:p>
        </w:tc>
      </w:tr>
      <w:tr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Safety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NR-10/NR-12 separadas</w:t>
            </w:r>
          </w:p>
        </w:tc>
        <w:tc>
          <w:tcPr>
            <w:tcW w:type="dxa" w:w="3427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Citation type e datas de vigência</w:t>
            </w:r>
          </w:p>
        </w:tc>
      </w:tr>
      <w:tr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Normas pagas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Somente metadados</w:t>
            </w:r>
          </w:p>
        </w:tc>
        <w:tc>
          <w:tcPr>
            <w:tcW w:type="dxa" w:w="3427"/>
            <w:shd w:fill="F8FAFC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F2937"/>
                <w:sz w:val="17"/>
              </w:rPr>
              <w:t>Licença específica antes do texto integral</w:t>
            </w:r>
          </w:p>
        </w:tc>
      </w:tr>
    </w:tbl>
    <w:p>
      <w:pPr>
        <w:spacing w:after="0"/>
      </w:pPr>
    </w:p>
    <w:p>
      <w:pPr>
        <w:keepLines/>
        <w:spacing w:before="0" w:after="100" w:line="269" w:lineRule="auto"/>
      </w:pPr>
      <w:r>
        <w:rPr>
          <w:b w:val="0"/>
        </w:rPr>
        <w:t>Não ingerir nem publicar automaticamente. O próximo passo correto é obter os doze insumos acima, capturar os PDFs oficiais com hashes e submeter o corpus draft a consultas de validação antes da ativação.</w:t>
      </w:r>
    </w:p>
    <w:p>
      <w:pPr>
        <w:pStyle w:val="Heading1"/>
        <w:keepNext/>
        <w:spacing w:before="200" w:after="80"/>
      </w:pPr>
      <w:r>
        <w:t>Fontes primárias principais</w:t>
      </w:r>
    </w:p>
    <w:p>
      <w:pPr>
        <w:pStyle w:val="ListBullet"/>
        <w:spacing w:after="40"/>
      </w:pPr>
      <w:hyperlink r:id="rId10">
        <w:r>
          <w:rPr>
            <w:color w:val="005EB8"/>
            <w:u w:val="single"/>
          </w:rPr>
          <w:t>WEG — produto 13887610</w:t>
        </w:r>
      </w:hyperlink>
    </w:p>
    <w:p>
      <w:pPr>
        <w:pStyle w:val="ListBullet"/>
        <w:spacing w:after="40"/>
      </w:pPr>
      <w:hyperlink r:id="rId13">
        <w:r>
          <w:rPr>
            <w:color w:val="005EB8"/>
            <w:u w:val="single"/>
          </w:rPr>
          <w:t>WEG — manual geral IOM 50033244</w:t>
        </w:r>
      </w:hyperlink>
    </w:p>
    <w:p>
      <w:pPr>
        <w:pStyle w:val="ListBullet"/>
        <w:spacing w:after="40"/>
      </w:pPr>
      <w:hyperlink r:id="rId14">
        <w:r>
          <w:rPr>
            <w:color w:val="005EB8"/>
            <w:u w:val="single"/>
          </w:rPr>
          <w:t>WEG — guia IOM 50031070/21</w:t>
        </w:r>
      </w:hyperlink>
    </w:p>
    <w:p>
      <w:pPr>
        <w:pStyle w:val="ListBullet"/>
        <w:spacing w:after="40"/>
      </w:pPr>
      <w:hyperlink r:id="rId15">
        <w:r>
          <w:rPr>
            <w:color w:val="005EB8"/>
            <w:u w:val="single"/>
          </w:rPr>
          <w:t>WEG — vista explodida 50106446</w:t>
        </w:r>
      </w:hyperlink>
    </w:p>
    <w:p>
      <w:pPr>
        <w:pStyle w:val="ListBullet"/>
        <w:spacing w:after="40"/>
      </w:pPr>
      <w:hyperlink r:id="rId16">
        <w:r>
          <w:rPr>
            <w:color w:val="005EB8"/>
            <w:u w:val="single"/>
          </w:rPr>
          <w:t>WEG — guia de especificação 50032749</w:t>
        </w:r>
      </w:hyperlink>
    </w:p>
    <w:p>
      <w:pPr>
        <w:pStyle w:val="ListBullet"/>
        <w:spacing w:after="40"/>
      </w:pPr>
      <w:hyperlink r:id="rId11">
        <w:r>
          <w:rPr>
            <w:color w:val="005EB8"/>
            <w:u w:val="single"/>
          </w:rPr>
          <w:t>WEG — Data Viewer</w:t>
        </w:r>
      </w:hyperlink>
    </w:p>
    <w:p>
      <w:pPr>
        <w:pStyle w:val="ListBullet"/>
        <w:spacing w:after="40"/>
      </w:pPr>
      <w:hyperlink r:id="rId17">
        <w:r>
          <w:rPr>
            <w:color w:val="005EB8"/>
            <w:u w:val="single"/>
          </w:rPr>
          <w:t>Pepperl+Fuchs — produto VIM32PL</w:t>
        </w:r>
      </w:hyperlink>
    </w:p>
    <w:p>
      <w:pPr>
        <w:pStyle w:val="ListBullet"/>
        <w:spacing w:after="40"/>
      </w:pPr>
      <w:hyperlink r:id="rId18">
        <w:r>
          <w:rPr>
            <w:color w:val="005EB8"/>
            <w:u w:val="single"/>
          </w:rPr>
          <w:t>Pepperl+Fuchs — ficha 70140695-100001</w:t>
        </w:r>
      </w:hyperlink>
    </w:p>
    <w:p>
      <w:pPr>
        <w:pStyle w:val="ListBullet"/>
        <w:spacing w:after="40"/>
      </w:pPr>
      <w:hyperlink r:id="rId19">
        <w:r>
          <w:rPr>
            <w:color w:val="005EB8"/>
            <w:u w:val="single"/>
          </w:rPr>
          <w:t>Pepperl+Fuchs — manual VIM3* DOCT-8114</w:t>
        </w:r>
      </w:hyperlink>
    </w:p>
    <w:p>
      <w:pPr>
        <w:pStyle w:val="ListBullet"/>
        <w:spacing w:after="40"/>
      </w:pPr>
      <w:hyperlink r:id="rId32">
        <w:r>
          <w:rPr>
            <w:color w:val="005EB8"/>
            <w:u w:val="single"/>
          </w:rPr>
          <w:t>MTE — página oficial da NR-10</w:t>
        </w:r>
      </w:hyperlink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B5563"/>
        <w:sz w:val="16"/>
      </w:rPr>
      <w:t>Forzy TwinOps  •  Pesquisa documental para RAG  •  04/09/2026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E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weg.net/catalog/weg/BR/pt/Motores-El%C3%A9tricos/Monof%C3%A1sico/Uso-Geral/W22-(IP55)/W22-3-cv-2P-100L-1F-110-127-220-254-V-60-Hz-IC411---TFVE---B3D/p/13887610" TargetMode="External"/><Relationship Id="rId11" Type="http://schemas.openxmlformats.org/officeDocument/2006/relationships/hyperlink" Target="https://www.weg.net/institutional/BR/pt/news/produtos-e-solucoes/aplicativo-weg-data-viewer-amplia-funcionalidades-para-disponibilizar-acesso-as-informacoes-das-solucoes-weg" TargetMode="External"/><Relationship Id="rId12" Type="http://schemas.openxmlformats.org/officeDocument/2006/relationships/hyperlink" Target="https://www.weg.net/institutional/WS/pt/news/produtos-e-solucoes/weg-cria-aplicativo-para-acesso-as-informacoes-tecnicas-de-motores" TargetMode="External"/><Relationship Id="rId13" Type="http://schemas.openxmlformats.org/officeDocument/2006/relationships/hyperlink" Target="https://static.weg.net/medias/downloadcenter/ha6/h39/WEG-WMO-safe-area-50033244-manual-pt-en-es.pdf" TargetMode="External"/><Relationship Id="rId14" Type="http://schemas.openxmlformats.org/officeDocument/2006/relationships/hyperlink" Target="https://static.weg.net/medias/downloadcenter/h28/h09/WEG-WMO-safe-area-50031070-manual-pt.pdf" TargetMode="External"/><Relationship Id="rId15" Type="http://schemas.openxmlformats.org/officeDocument/2006/relationships/hyperlink" Target="https://static.weg.net/medias/downloadcenter/hd5/h4e/WEG-WMO-vista-explodida-do-motor-monofasico-w22-50106446-banner-portuguese-web.pdf" TargetMode="External"/><Relationship Id="rId16" Type="http://schemas.openxmlformats.org/officeDocument/2006/relationships/hyperlink" Target="https://static.weg.net/medias/downloadcenter/h32/hc5/WEG-motores-eletricos-guia-de-especificacao-50032749-brochure-portuguese-web.pdf" TargetMode="External"/><Relationship Id="rId17" Type="http://schemas.openxmlformats.org/officeDocument/2006/relationships/hyperlink" Target="https://www.pepperl-fuchs.com/es-es/products-gp25581/116732" TargetMode="External"/><Relationship Id="rId18" Type="http://schemas.openxmlformats.org/officeDocument/2006/relationships/hyperlink" Target="https://files.pepperl-fuchs.com/webcat/navi/productInfo/pds/70140695-100001_eng.pdf" TargetMode="External"/><Relationship Id="rId19" Type="http://schemas.openxmlformats.org/officeDocument/2006/relationships/hyperlink" Target="https://files.pepperl-fuchs.com/webcat/navi/productInfo/doct/tdoct8114__eng.pdf" TargetMode="External"/><Relationship Id="rId20" Type="http://schemas.openxmlformats.org/officeDocument/2006/relationships/hyperlink" Target="https://www.gov.br/trabalho-e-emprego/pt-br/acesso-a-informacao/participacao-social/conselhos-e-orgaos-colegiados/comissao-tripartite-partitaria-permanente/arquivos/normas-regulamentadoras/nr-10-atualizada-2019-1.pdf" TargetMode="External"/><Relationship Id="rId21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0-atualizada-2026-1.pdf" TargetMode="External"/><Relationship Id="rId22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r-12-atualizada-2025.pdf" TargetMode="External"/><Relationship Id="rId23" Type="http://schemas.openxmlformats.org/officeDocument/2006/relationships/hyperlink" Target="https://webstore.iec.ch/en/publication/89961" TargetMode="External"/><Relationship Id="rId24" Type="http://schemas.openxmlformats.org/officeDocument/2006/relationships/hyperlink" Target="https://webstore.iec.ch/en/publication/64224" TargetMode="External"/><Relationship Id="rId25" Type="http://schemas.openxmlformats.org/officeDocument/2006/relationships/hyperlink" Target="https://webstore.iec.ch/en/publication/143" TargetMode="External"/><Relationship Id="rId26" Type="http://schemas.openxmlformats.org/officeDocument/2006/relationships/hyperlink" Target="https://webstore.iec.ch/en/publication/64225" TargetMode="External"/><Relationship Id="rId27" Type="http://schemas.openxmlformats.org/officeDocument/2006/relationships/hyperlink" Target="https://webstore.iec.ch/en/publication/94594" TargetMode="External"/><Relationship Id="rId28" Type="http://schemas.openxmlformats.org/officeDocument/2006/relationships/hyperlink" Target="https://www.iso.org/standard/71194.html" TargetMode="External"/><Relationship Id="rId29" Type="http://schemas.openxmlformats.org/officeDocument/2006/relationships/hyperlink" Target="https://www.iso.org/standard/21831.html" TargetMode="External"/><Relationship Id="rId30" Type="http://schemas.openxmlformats.org/officeDocument/2006/relationships/hyperlink" Target="https://www.iso.org/standard/63180.html" TargetMode="External"/><Relationship Id="rId31" Type="http://schemas.openxmlformats.org/officeDocument/2006/relationships/hyperlink" Target="https://www.weg.net/institutional/ES/pt/terms-and-conditions" TargetMode="External"/><Relationship Id="rId32" Type="http://schemas.openxmlformats.org/officeDocument/2006/relationships/hyperlink" Target="https://www.gov.br/trabalho-e-emprego/pt-br/acesso-a-informacao/participacao-social/conselhos-e-orgaos-colegiados/comissao-tripartite-partitaria-permanente/normas-regulamentadora/normas-regulamentadoras-vigentes/norma-regulamentadora-no-10-nr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documental para RAG técnico — WEG W22 13887610 e sensor VIM32PL</dc:title>
  <dc:subject>Fontes confiáveis, aplicabilidade e plano de corpus para o Forzy TwinOps</dc:subject>
  <dc:creator>OpenAI Codex</dc:creator>
  <cp:keywords>WEG, W22, 13887610, RAG, TwinOps, manutenção, motor monofásico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