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Realistic Humans in Blender</w:t>
      </w:r>
    </w:p>
    <w:p>
      <w:pPr>
        <w:pStyle w:val="Subtitle"/>
      </w:pPr>
      <w:r>
        <w:t>Research and production workflow for an LLM agent</w:t>
      </w:r>
    </w:p>
    <w:p>
      <w:r>
        <w:t>Companion to Blender Avatar Agent Toolkit  |  Revised research 2 October 2026</w:t>
      </w:r>
    </w:p>
    <w:p>
      <w:r>
        <w:t>Start with a suitable human base, establish believable anatomy, and prove the skin, eyes and hair in a controlled portrait render before expanding to the full body. Realism comes from these parts agreeing with one another at the intended camera distance. More polygons, larger textures or stronger subsurface scattering cannot independently guarantee it.</w:t>
      </w:r>
    </w:p>
    <w:p>
      <w:r>
        <w:t>This guide explains the creation workflow and the evidence an agent should collect at each stage. It complements the attached toolkit’s installation and automation reference. The default use case is a realistic adult character rendered in Cycles, including the toolkit’s full-body adult female target; the methods also apply to other adult characters. Animation and real-time delivery add separate requirements.</w:t>
      </w:r>
    </w:p>
    <w:p>
      <w:r>
        <w:t>Numbered references identify primary documentation and first-party production examples. The suggested order, review gates and diagnostic tests are production recommendations derived from those sources, not a benchmark of an autonomous Blender run. Match scripts and node controls to the installed Blender version; older production articles remain useful for principles without establishing current software limitations.</w:t>
      </w:r>
    </w:p>
    <w:p>
      <w:r>
        <w:t>For an agent-led build, prefer matched geometry and material data when they reduce manual repair. Scan data is useful but optional: Kent Trammell documents realistic Blender portrait work using sculpted pores and wrinkles and painted color, without scans or photo textures. Keep color and relief coherent whether they are captured, authored or combined. There is no established rule that asset data matters more than every other part of the process. [36]</w:t>
      </w:r>
    </w:p>
    <w:p>
      <w:pPr>
        <w:pStyle w:val="Heading1"/>
      </w:pPr>
      <w:r>
        <w:t>1 Choose the starting asset and delivery target</w:t>
      </w:r>
    </w:p>
    <w:p>
      <w:r>
        <w:t>Decide whether the output is a rendered image, animation, or an editable/exported avatar. This determines which details must deform, which materials will survive export, and whether the asset license permits the handoff. Keep the high-detail Blender master separate from any optimized real-time version.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1944"/>
        <w:gridCol w:w="3888"/>
        <w:gridCol w:w="4104"/>
      </w:tblGrid>
      <w:tr>
        <w:trPr>
          <w:cantSplit/>
          <w:tblHeader/>
        </w:trPr>
        <w:tc>
          <w:tcPr>
            <w:tcW w:type="dxa" w:w="1944"/>
            <w:vAlign w:val="center"/>
            <w:shd w:fill="283C4E"/>
          </w:tcPr>
          <w:p>
            <w:pPr>
              <w:spacing w:after="0" w:line="252" w:lineRule="auto"/>
            </w:pPr>
            <w:r>
              <w:rPr>
                <w:b/>
                <w:color w:val="FFFFFF"/>
                <w:sz w:val="19"/>
              </w:rPr>
              <w:t>Starting route</w:t>
            </w:r>
          </w:p>
        </w:tc>
        <w:tc>
          <w:tcPr>
            <w:tcW w:type="dxa" w:w="3888"/>
            <w:vAlign w:val="center"/>
            <w:shd w:fill="283C4E"/>
          </w:tcPr>
          <w:p>
            <w:pPr>
              <w:spacing w:after="0" w:line="252" w:lineRule="auto"/>
            </w:pPr>
            <w:r>
              <w:rPr>
                <w:b/>
                <w:color w:val="FFFFFF"/>
                <w:sz w:val="19"/>
              </w:rPr>
              <w:t>Why choose it</w:t>
            </w:r>
          </w:p>
        </w:tc>
        <w:tc>
          <w:tcPr>
            <w:tcW w:type="dxa" w:w="4104"/>
            <w:vAlign w:val="center"/>
            <w:shd w:fill="283C4E"/>
          </w:tcPr>
          <w:p>
            <w:pPr>
              <w:spacing w:after="0" w:line="252" w:lineRule="auto"/>
            </w:pPr>
            <w:r>
              <w:rPr>
                <w:b/>
                <w:color w:val="FFFFFF"/>
                <w:sz w:val="19"/>
              </w:rPr>
              <w:t>Work still required</w:t>
            </w:r>
          </w:p>
        </w:tc>
      </w:tr>
      <w:tr>
        <w:trPr>
          <w:cantSplit/>
        </w:trPr>
        <w:tc>
          <w:tcPr>
            <w:tcW w:type="dxa" w:w="1944"/>
            <w:vAlign w:val="center"/>
            <w:shd w:fill="F3F6F8"/>
          </w:tcPr>
          <w:p>
            <w:pPr>
              <w:spacing w:after="0" w:line="252" w:lineRule="auto"/>
            </w:pPr>
            <w:r>
              <w:rPr>
                <w:sz w:val="19"/>
              </w:rPr>
              <w:t>MPFB and selected assets</w:t>
            </w:r>
          </w:p>
        </w:tc>
        <w:tc>
          <w:tcPr>
            <w:tcW w:type="dxa" w:w="3888"/>
            <w:vAlign w:val="center"/>
            <w:shd w:fill="F3F6F8"/>
          </w:tcPr>
          <w:p>
            <w:pPr>
              <w:spacing w:after="0" w:line="252" w:lineRule="auto"/>
            </w:pPr>
            <w:r>
              <w:rPr>
                <w:sz w:val="19"/>
              </w:rPr>
              <w:t>Free parametric base with scriptable creation and asset loading. Good for repeatable experiments. [35]</w:t>
            </w:r>
          </w:p>
        </w:tc>
        <w:tc>
          <w:tcPr>
            <w:tcW w:type="dxa" w:w="4104"/>
            <w:vAlign w:val="center"/>
            <w:shd w:fill="F3F6F8"/>
          </w:tcPr>
          <w:p>
            <w:pPr>
              <w:spacing w:after="0" w:line="252" w:lineRule="auto"/>
            </w:pPr>
            <w:r>
              <w:rPr>
                <w:sz w:val="19"/>
              </w:rPr>
              <w:t>Individual anatomy, close-up skin, eyes, groom, clothing and deformation review.</w:t>
            </w:r>
          </w:p>
        </w:tc>
      </w:tr>
      <w:tr>
        <w:trPr>
          <w:cantSplit/>
        </w:trPr>
        <w:tc>
          <w:tcPr>
            <w:tcW w:type="dxa" w:w="1944"/>
            <w:vAlign w:val="center"/>
            <w:shd w:fill="FFFFFF"/>
          </w:tcPr>
          <w:p>
            <w:pPr>
              <w:spacing w:after="0" w:line="252" w:lineRule="auto"/>
            </w:pPr>
            <w:r>
              <w:rPr>
                <w:sz w:val="19"/>
              </w:rPr>
              <w:t>Human Generator</w:t>
            </w:r>
          </w:p>
        </w:tc>
        <w:tc>
          <w:tcPr>
            <w:tcW w:type="dxa" w:w="3888"/>
            <w:vAlign w:val="center"/>
            <w:shd w:fill="FFFFFF"/>
          </w:tcPr>
          <w:p>
            <w:pPr>
              <w:spacing w:after="0" w:line="252" w:lineRule="auto"/>
            </w:pPr>
            <w:r>
              <w:rPr>
                <w:sz w:val="19"/>
              </w:rPr>
              <w:t>Prepared humans and documented Python controls make it a strong candidate for a quick integrated prototype. [3, 4]</w:t>
            </w:r>
          </w:p>
        </w:tc>
        <w:tc>
          <w:tcPr>
            <w:tcW w:type="dxa" w:w="4104"/>
            <w:vAlign w:val="center"/>
            <w:shd w:fill="FFFFFF"/>
          </w:tcPr>
          <w:p>
            <w:pPr>
              <w:spacing w:after="0" w:line="252" w:lineRule="auto"/>
            </w:pPr>
            <w:r>
              <w:rPr>
                <w:sz w:val="19"/>
              </w:rPr>
              <w:t>Refine identity and close-up quality; check editable asset sharing restrictions. [5]</w:t>
            </w:r>
          </w:p>
        </w:tc>
      </w:tr>
      <w:tr>
        <w:trPr>
          <w:cantSplit/>
        </w:trPr>
        <w:tc>
          <w:tcPr>
            <w:tcW w:type="dxa" w:w="1944"/>
            <w:vAlign w:val="center"/>
            <w:shd w:fill="F3F6F8"/>
          </w:tcPr>
          <w:p>
            <w:pPr>
              <w:spacing w:after="0" w:line="252" w:lineRule="auto"/>
            </w:pPr>
            <w:r>
              <w:rPr>
                <w:sz w:val="19"/>
              </w:rPr>
              <w:t>MetaHuman with Poly Hammer</w:t>
            </w:r>
          </w:p>
        </w:tc>
        <w:tc>
          <w:tcPr>
            <w:tcW w:type="dxa" w:w="3888"/>
            <w:vAlign w:val="center"/>
            <w:shd w:fill="F3F6F8"/>
          </w:tcPr>
          <w:p>
            <w:pPr>
              <w:spacing w:after="0" w:line="252" w:lineRule="auto"/>
            </w:pPr>
            <w:r>
              <w:rPr>
                <w:sz w:val="19"/>
              </w:rPr>
              <w:t>Documented import and assembly route for a rigged human, Cycles materials and native curve grooms. [39–42]</w:t>
            </w:r>
          </w:p>
        </w:tc>
        <w:tc>
          <w:tcPr>
            <w:tcW w:type="dxa" w:w="4104"/>
            <w:vAlign w:val="center"/>
            <w:shd w:fill="F3F6F8"/>
          </w:tcPr>
          <w:p>
            <w:pPr>
              <w:spacing w:after="0" w:line="252" w:lineRule="auto"/>
            </w:pPr>
            <w:r>
              <w:rPr>
                <w:sz w:val="19"/>
              </w:rPr>
              <w:t>Requires a compatible Unreal export workflow, add-ons and a Blender acceptance test.</w:t>
            </w:r>
          </w:p>
        </w:tc>
      </w:tr>
      <w:tr>
        <w:trPr>
          <w:cantSplit/>
        </w:trPr>
        <w:tc>
          <w:tcPr>
            <w:tcW w:type="dxa" w:w="1944"/>
            <w:vAlign w:val="center"/>
            <w:shd w:fill="FFFFFF"/>
          </w:tcPr>
          <w:p>
            <w:pPr>
              <w:spacing w:after="0" w:line="252" w:lineRule="auto"/>
            </w:pPr>
            <w:r>
              <w:rPr>
                <w:sz w:val="19"/>
              </w:rPr>
              <w:t>Character Creator 5</w:t>
            </w:r>
          </w:p>
        </w:tc>
        <w:tc>
          <w:tcPr>
            <w:tcW w:type="dxa" w:w="3888"/>
            <w:vAlign w:val="center"/>
            <w:shd w:fill="FFFFFF"/>
          </w:tcPr>
          <w:p>
            <w:pPr>
              <w:spacing w:after="0" w:line="252" w:lineRule="auto"/>
            </w:pPr>
            <w:r>
              <w:rPr>
                <w:sz w:val="19"/>
              </w:rPr>
              <w:t>HD characters, detailed maps and expression wrinkles; free Blender Auto Setup for material assembly. [43–45]</w:t>
            </w:r>
          </w:p>
        </w:tc>
        <w:tc>
          <w:tcPr>
            <w:tcW w:type="dxa" w:w="4104"/>
            <w:vAlign w:val="center"/>
            <w:shd w:fill="FFFFFF"/>
          </w:tcPr>
          <w:p>
            <w:pPr>
              <w:spacing w:after="0" w:line="252" w:lineRule="auto"/>
            </w:pPr>
            <w:r>
              <w:rPr>
                <w:sz w:val="19"/>
              </w:rPr>
              <w:t>Paid source software/assets; inspect selected export data, shader conversion and motion.</w:t>
            </w:r>
          </w:p>
        </w:tc>
      </w:tr>
      <w:tr>
        <w:trPr>
          <w:cantSplit/>
        </w:trPr>
        <w:tc>
          <w:tcPr>
            <w:tcW w:type="dxa" w:w="1944"/>
            <w:vAlign w:val="center"/>
            <w:shd w:fill="F3F6F8"/>
          </w:tcPr>
          <w:p>
            <w:pPr>
              <w:spacing w:after="0" w:line="252" w:lineRule="auto"/>
            </w:pPr>
            <w:r>
              <w:rPr>
                <w:sz w:val="19"/>
              </w:rPr>
              <w:t>Retopologized scan</w:t>
            </w:r>
          </w:p>
        </w:tc>
        <w:tc>
          <w:tcPr>
            <w:tcW w:type="dxa" w:w="3888"/>
            <w:vAlign w:val="center"/>
            <w:shd w:fill="F3F6F8"/>
          </w:tcPr>
          <w:p>
            <w:pPr>
              <w:spacing w:after="0" w:line="252" w:lineRule="auto"/>
            </w:pPr>
            <w:r>
              <w:rPr>
                <w:sz w:val="19"/>
              </w:rPr>
              <w:t>Captured shape and surface information can provide a strong anatomical starting point. [6]</w:t>
            </w:r>
          </w:p>
        </w:tc>
        <w:tc>
          <w:tcPr>
            <w:tcW w:type="dxa" w:w="4104"/>
            <w:vAlign w:val="center"/>
            <w:shd w:fill="F3F6F8"/>
          </w:tcPr>
          <w:p>
            <w:pPr>
              <w:spacing w:after="0" w:line="252" w:lineRule="auto"/>
            </w:pPr>
            <w:r>
              <w:rPr>
                <w:sz w:val="19"/>
              </w:rPr>
              <w:t>Inspect maps and usable file formats; build Blender shading, rig, expressions and groom as needed.</w:t>
            </w:r>
          </w:p>
        </w:tc>
      </w:tr>
      <w:tr>
        <w:trPr>
          <w:cantSplit/>
        </w:trPr>
        <w:tc>
          <w:tcPr>
            <w:tcW w:type="dxa" w:w="1944"/>
            <w:vAlign w:val="center"/>
            <w:shd w:fill="FFFFFF"/>
          </w:tcPr>
          <w:p>
            <w:pPr>
              <w:spacing w:after="0" w:line="252" w:lineRule="auto"/>
            </w:pPr>
            <w:r>
              <w:rPr>
                <w:sz w:val="19"/>
              </w:rPr>
              <w:t>Blender Human Base Meshes</w:t>
            </w:r>
          </w:p>
        </w:tc>
        <w:tc>
          <w:tcPr>
            <w:tcW w:type="dxa" w:w="3888"/>
            <w:vAlign w:val="center"/>
            <w:shd w:fill="FFFFFF"/>
          </w:tcPr>
          <w:p>
            <w:pPr>
              <w:spacing w:after="0" w:line="252" w:lineRule="auto"/>
            </w:pPr>
            <w:r>
              <w:rPr>
                <w:sz w:val="19"/>
              </w:rPr>
              <w:t>CC0 geometry for custom sculpting and maximum design control. [8]</w:t>
            </w:r>
          </w:p>
        </w:tc>
        <w:tc>
          <w:tcPr>
            <w:tcW w:type="dxa" w:w="4104"/>
            <w:vAlign w:val="center"/>
            <w:shd w:fill="FFFFFF"/>
          </w:tcPr>
          <w:p>
            <w:pPr>
              <w:spacing w:after="0" w:line="252" w:lineRule="auto"/>
            </w:pPr>
            <w:r>
              <w:rPr>
                <w:sz w:val="19"/>
              </w:rPr>
              <w:t>Most appearance work, including textures, materials, hair and rigging.</w:t>
            </w:r>
          </w:p>
        </w:tc>
      </w:tr>
    </w:tbl>
    <w:p>
      <w:pPr>
        <w:spacing w:after="20"/>
      </w:pPr>
    </w:p>
    <w:p>
      <w:r>
        <w:t>Recommended choice: use MPFB when zero software cost and reproducible control lead the decision. When face close-ups are mandatory, compare a selected MPFB asset against a prepared commercial human or licensed scan before committing. Choose using identical renders and the amount of repair required. No source here establishes a quality ranking or an inherent close-up limit for MPFB.</w:t>
      </w:r>
    </w:p>
    <w:p>
      <w:pPr>
        <w:pStyle w:val="Heading2"/>
      </w:pPr>
      <w:r>
        <w:t>Documented routes and useful reference characters</w:t>
      </w:r>
    </w:p>
    <w:p>
      <w:r>
        <w:t>MetaHuman is now a concrete candidate for Blender. Epic permits use in other creative applications; its current licensing page describes free use below the USD 1 million revenue threshold, subject to the full terms. Poly Hammer Character DNA has a free edition and lists Blender 5.2 support, while its repository still describes open-beta status. DNA can link accompanying textures; paid Assembly adds complete material, outfit and groom assembly. [38–40]</w:t>
      </w:r>
    </w:p>
    <w:p>
      <w:r>
        <w:t>The Assembly workflow requires Blender 5.2 or later, Character DNA, and Poly Hammer Interchange exporting from Unreal Engine 5.8 or later. Its documentation describes Cycles skin, eyes, teeth and hair, rig-driven wrinkle maps and native curve grooms including peach fuzz. Keep the exported manifest and asset folder together. This is documented functionality, not a transfer or visual-quality test performed for this guide. [41, 42]</w:t>
      </w:r>
    </w:p>
    <w:p>
      <w:r>
        <w:t>Character Creator 5 documents HD subdivision, 8K skin and displacement-based expression wrinkles. The free Blender Auto Setup and its maintainer describe Cycles materials, Random Walk (Skin), cavity handling and dual-specular blending. The source software and content have their own costs and rights, and not every exported character necessarily includes the same maps. Treat those shader features as a supplied implementation to inspect, not mandatory additions to every skin shader. [43–45]</w:t>
      </w:r>
    </w:p>
    <w:p>
      <w:r>
        <w:t>Two Blender-native references are useful for inspection. Universal Human is modular: its documented tension mapping covers hands and arms, while face wrinkles use a different setup; hair and full body textures are not supplied by the documented kit. Blender Studio’s Einar is a CC-BY production rig whose page specifies at least Blender 3.5. Attribute it and smoke-test it in the selected modern build before using it as a technical reference. [46, 47]</w:t>
      </w:r>
    </w:p>
    <w:p>
      <w:pPr>
        <w:pStyle w:val="Heading2"/>
      </w:pPr>
      <w:r>
        <w:t>Check the package before committing</w:t>
      </w:r>
    </w:p>
    <w:p>
      <w:r>
        <w:t>Render the candidate in Blender using one portrait camera and one full-body camera. Inspect UVs, separate eye and mouth parts, usable texture channels, supplied rig and shape keys, and the actual geometry files. “Animation ready” may mean suitable for rigging. For example, the Female 27 scan lists FBX plus a subdivided ZBrush source; do not assume the FBX contains the ZBrush subdivision history or a Blender rig. [6]</w:t>
      </w:r>
    </w:p>
    <w:p>
      <w:r>
        <w:t>Record asset-level rights. Human Generator distinguishes its GPL add-on from its digital assets and restricts extractable model/texture sharing. Scan licenses also restrict redistribution. MPFB core assets and third-party packs can have different terms. Blender’s CC0 demo base-mesh bundle is a different download from the CC-BY base linked in the older Studio research. [2, 5, 7, 8, 9]</w:t>
      </w:r>
    </w:p>
    <w:p>
      <w:r>
        <w:t>MPFB’s Enhanced skin page describes an older diffuse-plus-procedural-bump setup, not the whole current system. MakeSkin supports normal, roughness and other PBR textures, and texture-based eyes are an alternative to procedural eyes. This establishes material support, not which maps a particular pack includes. Its longstanding base mesh is a compatibility fact, not evidence by itself of poor realism. Inventory the chosen assets. [1, 37, 60]</w:t>
      </w:r>
    </w:p>
    <w:p>
      <w:pPr>
        <w:pStyle w:val="Heading1"/>
      </w:pPr>
      <w:r>
        <w:t>2 Establish references and anatomy</w:t>
      </w:r>
    </w:p>
    <w:p>
      <w:pPr>
        <w:pStyle w:val="Heading2"/>
      </w:pPr>
      <w:r>
        <w:t>Define what realistic means for this character</w:t>
      </w:r>
    </w:p>
    <w:p>
      <w:r>
        <w:t>Write a short character brief: adult age, body proportions, skin tone and visible variation, hair, clothing, expression, pose, intended camera framing and delivery resolution. For a likeness, use consistent photographs of the same person. Record uncertainty when lens, pose or lighting differs between references. Generated concept images can establish a direction, but contradictory views should not become simultaneous geometry requirements.</w:t>
      </w:r>
    </w:p>
    <w:p>
      <w:r>
        <w:t>Collect front, profile and three-quarter references plus face, hands, ears, hairline and garment details. Start with neutral expressions. Match the reference camera before changing anatomy to fit it: a close camera can make the nose appear larger relative to the ears. Orthographic views help compare shape; the final perspective camera determines the delivered appearance.</w:t>
      </w:r>
    </w:p>
    <w:p>
      <w:pPr>
        <w:pStyle w:val="Heading2"/>
      </w:pPr>
      <w:r>
        <w:t>Build large forms before surface detail</w:t>
      </w:r>
    </w:p>
    <w:p>
      <w:r>
        <w:t>Use a relaxed neutral pose and a real physical scale. Check head-to-body relationship, rib cage and pelvis, shoulder slope, limb length, hands, feet and the weight-bearing stance. On the face, resolve cranium, jaw, cheeks, nose, chin, eye sockets and lip volume. Add rough hair and clothing early because they change the perceived proportions. Blender Studio’s design research emphasizes references, asymmetry and approval of the design before detailed downstream work. [9, 10]</w:t>
      </w:r>
    </w:p>
    <w:p>
      <w:r>
        <w:t>Add purposeful asymmetry after the major forms work. A slightly different eyelid contour or mouth corner can feel natural; arbitrary vertex noise usually weakens anatomy. Keep age and body composition consistent across the face, neck, hands and body. Do not compensate for a weak jaw shape by painting stronger shadows into the skin texture.</w:t>
      </w:r>
    </w:p>
    <w:p>
      <w:r>
        <w:t>Approval gate: create front, profile and three-quarter clay renders with skin textures and fine bump disabled. The character must remain plausible. Check that eyelids wrap the eye, lips have thickness, nostrils and ears have depth, and hands are anatomically coherent. Fix the silhouette and major planes before adding pores.</w:t>
      </w:r>
    </w:p>
    <w:p>
      <w:r>
        <w:t>Visual consistency deserves special attention. MacDorman and colleagues’ still-image studies found that abnormal proportions and eye/face realism mismatches could increase eeriness. This supports reviewing the face as a coherent whole; it does not establish a numerical law that one component alone determines the maximum achievable realism. [58]</w:t>
      </w:r>
    </w:p>
    <w:p>
      <w:pPr>
        <w:pStyle w:val="Heading1"/>
      </w:pPr>
      <w:r>
        <w:t>3 Preserve topology and detail through the pipeline</w:t>
      </w:r>
    </w:p>
    <w:p>
      <w:r>
        <w:t>If the base already deforms well, preserve it. For a custom sculpt or raw scan, retopologize for the intended motion before committing to final UVs, groom attachments and expression shapes. Put useful edge flow around eyelids, lips, shoulders and joints; inspect subdivision for pinching. Keep a high-resolution sculpt separately from the working deformation mesh. [11]</w:t>
      </w:r>
    </w:p>
    <w:p>
      <w:r>
        <w:t>Lock vertex count and order when shape keys depend on them. Use Multiresolution for sculpt detail on a stable base, and transfer or bake detail deliberately. Inspect reprojection at opposing surfaces such as lips, eyelids and fingers. Blender Studio’s production experience shows why changing topology after building many sculpt layers creates expensive cleanup. Its historical workaround is not a requirement to install the same add-ons today. [12, 13]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1584"/>
        <w:gridCol w:w="4608"/>
        <w:gridCol w:w="3744"/>
      </w:tblGrid>
      <w:tr>
        <w:trPr>
          <w:cantSplit/>
          <w:tblHeader/>
        </w:trPr>
        <w:tc>
          <w:tcPr>
            <w:tcW w:type="dxa" w:w="1584"/>
            <w:vAlign w:val="center"/>
            <w:shd w:fill="283C4E"/>
          </w:tcPr>
          <w:p>
            <w:pPr>
              <w:spacing w:after="0" w:line="252" w:lineRule="auto"/>
            </w:pPr>
            <w:r>
              <w:rPr>
                <w:b/>
                <w:color w:val="FFFFFF"/>
                <w:sz w:val="19"/>
              </w:rPr>
              <w:t>Detail scale</w:t>
            </w:r>
          </w:p>
        </w:tc>
        <w:tc>
          <w:tcPr>
            <w:tcW w:type="dxa" w:w="4608"/>
            <w:vAlign w:val="center"/>
            <w:shd w:fill="283C4E"/>
          </w:tcPr>
          <w:p>
            <w:pPr>
              <w:spacing w:after="0" w:line="252" w:lineRule="auto"/>
            </w:pPr>
            <w:r>
              <w:rPr>
                <w:b/>
                <w:color w:val="FFFFFF"/>
                <w:sz w:val="19"/>
              </w:rPr>
              <w:t>Suggested representation</w:t>
            </w:r>
          </w:p>
        </w:tc>
        <w:tc>
          <w:tcPr>
            <w:tcW w:type="dxa" w:w="3744"/>
            <w:vAlign w:val="center"/>
            <w:shd w:fill="283C4E"/>
          </w:tcPr>
          <w:p>
            <w:pPr>
              <w:spacing w:after="0" w:line="252" w:lineRule="auto"/>
            </w:pPr>
            <w:r>
              <w:rPr>
                <w:b/>
                <w:color w:val="FFFFFF"/>
                <w:sz w:val="19"/>
              </w:rPr>
              <w:t>Example</w:t>
            </w:r>
          </w:p>
        </w:tc>
      </w:tr>
      <w:tr>
        <w:trPr>
          <w:cantSplit/>
        </w:trPr>
        <w:tc>
          <w:tcPr>
            <w:tcW w:type="dxa" w:w="1584"/>
            <w:vAlign w:val="center"/>
            <w:shd w:fill="F3F6F8"/>
          </w:tcPr>
          <w:p>
            <w:pPr>
              <w:spacing w:after="0" w:line="252" w:lineRule="auto"/>
            </w:pPr>
            <w:r>
              <w:rPr>
                <w:sz w:val="19"/>
              </w:rPr>
              <w:t>Large form</w:t>
            </w:r>
          </w:p>
        </w:tc>
        <w:tc>
          <w:tcPr>
            <w:tcW w:type="dxa" w:w="4608"/>
            <w:vAlign w:val="center"/>
            <w:shd w:fill="F3F6F8"/>
          </w:tcPr>
          <w:p>
            <w:pPr>
              <w:spacing w:after="0" w:line="252" w:lineRule="auto"/>
            </w:pPr>
            <w:r>
              <w:rPr>
                <w:sz w:val="19"/>
              </w:rPr>
              <w:t>Base geometry, rig and corrective shapes</w:t>
            </w:r>
          </w:p>
        </w:tc>
        <w:tc>
          <w:tcPr>
            <w:tcW w:type="dxa" w:w="3744"/>
            <w:vAlign w:val="center"/>
            <w:shd w:fill="F3F6F8"/>
          </w:tcPr>
          <w:p>
            <w:pPr>
              <w:spacing w:after="0" w:line="252" w:lineRule="auto"/>
            </w:pPr>
            <w:r>
              <w:rPr>
                <w:sz w:val="19"/>
              </w:rPr>
              <w:t>Jaw shape, cheek volume, shoulder deformation</w:t>
            </w:r>
          </w:p>
        </w:tc>
      </w:tr>
      <w:tr>
        <w:trPr>
          <w:cantSplit/>
        </w:trPr>
        <w:tc>
          <w:tcPr>
            <w:tcW w:type="dxa" w:w="1584"/>
            <w:vAlign w:val="center"/>
            <w:shd w:fill="FFFFFF"/>
          </w:tcPr>
          <w:p>
            <w:pPr>
              <w:spacing w:after="0" w:line="252" w:lineRule="auto"/>
            </w:pPr>
            <w:r>
              <w:rPr>
                <w:sz w:val="19"/>
              </w:rPr>
              <w:t>Medium relief</w:t>
            </w:r>
          </w:p>
        </w:tc>
        <w:tc>
          <w:tcPr>
            <w:tcW w:type="dxa" w:w="4608"/>
            <w:vAlign w:val="center"/>
            <w:shd w:fill="FFFFFF"/>
          </w:tcPr>
          <w:p>
            <w:pPr>
              <w:spacing w:after="0" w:line="252" w:lineRule="auto"/>
            </w:pPr>
            <w:r>
              <w:rPr>
                <w:sz w:val="19"/>
              </w:rPr>
              <w:t>Sculpted geometry or displacement</w:t>
            </w:r>
          </w:p>
        </w:tc>
        <w:tc>
          <w:tcPr>
            <w:tcW w:type="dxa" w:w="3744"/>
            <w:vAlign w:val="center"/>
            <w:shd w:fill="FFFFFF"/>
          </w:tcPr>
          <w:p>
            <w:pPr>
              <w:spacing w:after="0" w:line="252" w:lineRule="auto"/>
            </w:pPr>
            <w:r>
              <w:rPr>
                <w:sz w:val="19"/>
              </w:rPr>
              <w:t>Folds, deeper wrinkles, raised scars</w:t>
            </w:r>
          </w:p>
        </w:tc>
      </w:tr>
      <w:tr>
        <w:trPr>
          <w:cantSplit/>
        </w:trPr>
        <w:tc>
          <w:tcPr>
            <w:tcW w:type="dxa" w:w="1584"/>
            <w:vAlign w:val="center"/>
            <w:shd w:fill="F3F6F8"/>
          </w:tcPr>
          <w:p>
            <w:pPr>
              <w:spacing w:after="0" w:line="252" w:lineRule="auto"/>
            </w:pPr>
            <w:r>
              <w:rPr>
                <w:sz w:val="19"/>
              </w:rPr>
              <w:t>Fine surface</w:t>
            </w:r>
          </w:p>
        </w:tc>
        <w:tc>
          <w:tcPr>
            <w:tcW w:type="dxa" w:w="4608"/>
            <w:vAlign w:val="center"/>
            <w:shd w:fill="F3F6F8"/>
          </w:tcPr>
          <w:p>
            <w:pPr>
              <w:spacing w:after="0" w:line="252" w:lineRule="auto"/>
            </w:pPr>
            <w:r>
              <w:rPr>
                <w:sz w:val="19"/>
              </w:rPr>
              <w:t>Normal or bump, plus roughness variation</w:t>
            </w:r>
          </w:p>
        </w:tc>
        <w:tc>
          <w:tcPr>
            <w:tcW w:type="dxa" w:w="3744"/>
            <w:vAlign w:val="center"/>
            <w:shd w:fill="F3F6F8"/>
          </w:tcPr>
          <w:p>
            <w:pPr>
              <w:spacing w:after="0" w:line="252" w:lineRule="auto"/>
            </w:pPr>
            <w:r>
              <w:rPr>
                <w:sz w:val="19"/>
              </w:rPr>
              <w:t>Pores, tiny creases and fabric weave</w:t>
            </w:r>
          </w:p>
        </w:tc>
      </w:tr>
    </w:tbl>
    <w:p>
      <w:pPr>
        <w:spacing w:after="20"/>
      </w:pPr>
    </w:p>
    <w:p>
      <w:r>
        <w:t>This separation follows the logic of Blender Studio’s shape, displacement and bump workflow. Choose the boundary by what the final camera resolves. Geometry and displacement can affect relief and silhouette; bump and normal maps mainly change the shading response. Avoid applying the same pore detail at full strength in multiple channels. [14, 17]</w:t>
      </w:r>
    </w:p>
    <w:p>
      <w:r>
        <w:t>Plan UVs around visible regions. A face filling the image needs more usable texel density than a distant torso. Start with the source asset’s intended layout, then enlarge or use UDIMs only for a visible need. Inspect seams at the neck, scalp, ears and wrists. A nominal 8K or 16K image is not evidence of sharp, well-aligned detail.</w:t>
      </w:r>
    </w:p>
    <w:p>
      <w:pPr>
        <w:pStyle w:val="Heading1"/>
      </w:pPr>
      <w:r>
        <w:t>4 Build skin as a material system</w:t>
      </w:r>
    </w:p>
    <w:p>
      <w:pPr>
        <w:pStyle w:val="Heading2"/>
      </w:pPr>
      <w:r>
        <w:t>Prepare and route texture data</w:t>
      </w:r>
    </w:p>
    <w:p>
      <w:r>
        <w:t>Use a color texture without strong baked-in highlights or directional shadows where possible. Add regional variation that matches the person: cheeks, lips, eyelids, nose, ears, knuckles and palms should not look like one uniform painted material. Freckles, moles, redness and scars should have plausible placement and scale. Avoid copying every mark symmetrically.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1512"/>
        <w:gridCol w:w="5472"/>
        <w:gridCol w:w="2952"/>
      </w:tblGrid>
      <w:tr>
        <w:trPr>
          <w:cantSplit/>
          <w:tblHeader/>
        </w:trPr>
        <w:tc>
          <w:tcPr>
            <w:tcW w:type="dxa" w:w="1512"/>
            <w:vAlign w:val="center"/>
            <w:shd w:fill="283C4E"/>
          </w:tcPr>
          <w:p>
            <w:pPr>
              <w:spacing w:after="0" w:line="252" w:lineRule="auto"/>
            </w:pPr>
            <w:r>
              <w:rPr>
                <w:b/>
                <w:color w:val="FFFFFF"/>
                <w:sz w:val="19"/>
              </w:rPr>
              <w:t>Input</w:t>
            </w:r>
          </w:p>
        </w:tc>
        <w:tc>
          <w:tcPr>
            <w:tcW w:type="dxa" w:w="5472"/>
            <w:vAlign w:val="center"/>
            <w:shd w:fill="283C4E"/>
          </w:tcPr>
          <w:p>
            <w:pPr>
              <w:spacing w:after="0" w:line="252" w:lineRule="auto"/>
            </w:pPr>
            <w:r>
              <w:rPr>
                <w:b/>
                <w:color w:val="FFFFFF"/>
                <w:sz w:val="19"/>
              </w:rPr>
              <w:t>Interpretation and connection</w:t>
            </w:r>
          </w:p>
        </w:tc>
        <w:tc>
          <w:tcPr>
            <w:tcW w:type="dxa" w:w="2952"/>
            <w:vAlign w:val="center"/>
            <w:shd w:fill="283C4E"/>
          </w:tcPr>
          <w:p>
            <w:pPr>
              <w:spacing w:after="0" w:line="252" w:lineRule="auto"/>
            </w:pPr>
            <w:r>
              <w:rPr>
                <w:b/>
                <w:color w:val="FFFFFF"/>
                <w:sz w:val="19"/>
              </w:rPr>
              <w:t>Review check</w:t>
            </w:r>
          </w:p>
        </w:tc>
      </w:tr>
      <w:tr>
        <w:trPr>
          <w:cantSplit/>
        </w:trPr>
        <w:tc>
          <w:tcPr>
            <w:tcW w:type="dxa" w:w="1512"/>
            <w:vAlign w:val="center"/>
            <w:shd w:fill="F3F6F8"/>
          </w:tcPr>
          <w:p>
            <w:pPr>
              <w:spacing w:after="0" w:line="252" w:lineRule="auto"/>
            </w:pPr>
            <w:r>
              <w:rPr>
                <w:sz w:val="19"/>
              </w:rPr>
              <w:t>Base color</w:t>
            </w:r>
          </w:p>
        </w:tc>
        <w:tc>
          <w:tcPr>
            <w:tcW w:type="dxa" w:w="5472"/>
            <w:vAlign w:val="center"/>
            <w:shd w:fill="F3F6F8"/>
          </w:tcPr>
          <w:p>
            <w:pPr>
              <w:spacing w:after="0" w:line="252" w:lineRule="auto"/>
            </w:pPr>
            <w:r>
              <w:rPr>
                <w:sz w:val="19"/>
              </w:rPr>
              <w:t>Use the source’s declared color space, commonly sRGB for ordinary color images; connect to Principled Base Color.</w:t>
            </w:r>
          </w:p>
        </w:tc>
        <w:tc>
          <w:tcPr>
            <w:tcW w:type="dxa" w:w="2952"/>
            <w:vAlign w:val="center"/>
            <w:shd w:fill="F3F6F8"/>
          </w:tcPr>
          <w:p>
            <w:pPr>
              <w:spacing w:after="0" w:line="252" w:lineRule="auto"/>
            </w:pPr>
            <w:r>
              <w:rPr>
                <w:sz w:val="19"/>
              </w:rPr>
              <w:t>Lighting is not permanently painted into the face.</w:t>
            </w:r>
          </w:p>
        </w:tc>
      </w:tr>
      <w:tr>
        <w:trPr>
          <w:cantSplit/>
        </w:trPr>
        <w:tc>
          <w:tcPr>
            <w:tcW w:type="dxa" w:w="1512"/>
            <w:vAlign w:val="center"/>
            <w:shd w:fill="FFFFFF"/>
          </w:tcPr>
          <w:p>
            <w:pPr>
              <w:spacing w:after="0" w:line="252" w:lineRule="auto"/>
            </w:pPr>
            <w:r>
              <w:rPr>
                <w:sz w:val="19"/>
              </w:rPr>
              <w:t>Roughness</w:t>
            </w:r>
          </w:p>
        </w:tc>
        <w:tc>
          <w:tcPr>
            <w:tcW w:type="dxa" w:w="5472"/>
            <w:vAlign w:val="center"/>
            <w:shd w:fill="FFFFFF"/>
          </w:tcPr>
          <w:p>
            <w:pPr>
              <w:spacing w:after="0" w:line="252" w:lineRule="auto"/>
            </w:pPr>
            <w:r>
              <w:rPr>
                <w:sz w:val="19"/>
              </w:rPr>
              <w:t>Treat as data using Non-Color; connect to Roughness. Invert a gloss map only if its specification requires it.</w:t>
            </w:r>
          </w:p>
        </w:tc>
        <w:tc>
          <w:tcPr>
            <w:tcW w:type="dxa" w:w="2952"/>
            <w:vAlign w:val="center"/>
            <w:shd w:fill="FFFFFF"/>
          </w:tcPr>
          <w:p>
            <w:pPr>
              <w:spacing w:after="0" w:line="252" w:lineRule="auto"/>
            </w:pPr>
            <w:r>
              <w:rPr>
                <w:sz w:val="19"/>
              </w:rPr>
              <w:t>Oily and dry regions differ without looking wet everywhere.</w:t>
            </w:r>
          </w:p>
        </w:tc>
      </w:tr>
      <w:tr>
        <w:trPr>
          <w:cantSplit/>
        </w:trPr>
        <w:tc>
          <w:tcPr>
            <w:tcW w:type="dxa" w:w="1512"/>
            <w:vAlign w:val="center"/>
            <w:shd w:fill="F3F6F8"/>
          </w:tcPr>
          <w:p>
            <w:pPr>
              <w:spacing w:after="0" w:line="252" w:lineRule="auto"/>
            </w:pPr>
            <w:r>
              <w:rPr>
                <w:sz w:val="19"/>
              </w:rPr>
              <w:t>Normal</w:t>
            </w:r>
          </w:p>
        </w:tc>
        <w:tc>
          <w:tcPr>
            <w:tcW w:type="dxa" w:w="5472"/>
            <w:vAlign w:val="center"/>
            <w:shd w:fill="F3F6F8"/>
          </w:tcPr>
          <w:p>
            <w:pPr>
              <w:spacing w:after="0" w:line="252" w:lineRule="auto"/>
            </w:pPr>
            <w:r>
              <w:rPr>
                <w:sz w:val="19"/>
              </w:rPr>
              <w:t>Non-Color image → Normal Map node → shader Normal; use the correct UV set and normal convention.</w:t>
            </w:r>
          </w:p>
        </w:tc>
        <w:tc>
          <w:tcPr>
            <w:tcW w:type="dxa" w:w="2952"/>
            <w:vAlign w:val="center"/>
            <w:shd w:fill="F3F6F8"/>
          </w:tcPr>
          <w:p>
            <w:pPr>
              <w:spacing w:after="0" w:line="252" w:lineRule="auto"/>
            </w:pPr>
            <w:r>
              <w:rPr>
                <w:sz w:val="19"/>
              </w:rPr>
              <w:t>Detail points the correct way and follows deformation.</w:t>
            </w:r>
          </w:p>
        </w:tc>
      </w:tr>
      <w:tr>
        <w:trPr>
          <w:cantSplit/>
        </w:trPr>
        <w:tc>
          <w:tcPr>
            <w:tcW w:type="dxa" w:w="1512"/>
            <w:vAlign w:val="center"/>
            <w:shd w:fill="FFFFFF"/>
          </w:tcPr>
          <w:p>
            <w:pPr>
              <w:spacing w:after="0" w:line="252" w:lineRule="auto"/>
            </w:pPr>
            <w:r>
              <w:rPr>
                <w:sz w:val="19"/>
              </w:rPr>
              <w:t>Height for bump</w:t>
            </w:r>
          </w:p>
        </w:tc>
        <w:tc>
          <w:tcPr>
            <w:tcW w:type="dxa" w:w="5472"/>
            <w:vAlign w:val="center"/>
            <w:shd w:fill="FFFFFF"/>
          </w:tcPr>
          <w:p>
            <w:pPr>
              <w:spacing w:after="0" w:line="252" w:lineRule="auto"/>
            </w:pPr>
            <w:r>
              <w:rPr>
                <w:sz w:val="19"/>
              </w:rPr>
              <w:t>Non-Color image → Bump node Height → shader Normal. Combine with an existing normal map deliberately.</w:t>
            </w:r>
          </w:p>
        </w:tc>
        <w:tc>
          <w:tcPr>
            <w:tcW w:type="dxa" w:w="2952"/>
            <w:vAlign w:val="center"/>
            <w:shd w:fill="FFFFFF"/>
          </w:tcPr>
          <w:p>
            <w:pPr>
              <w:spacing w:after="0" w:line="252" w:lineRule="auto"/>
            </w:pPr>
            <w:r>
              <w:rPr>
                <w:sz w:val="19"/>
              </w:rPr>
              <w:t>Fine relief changes shading without swelling the mesh.</w:t>
            </w:r>
          </w:p>
        </w:tc>
      </w:tr>
      <w:tr>
        <w:trPr>
          <w:cantSplit/>
        </w:trPr>
        <w:tc>
          <w:tcPr>
            <w:tcW w:type="dxa" w:w="1512"/>
            <w:vAlign w:val="center"/>
            <w:shd w:fill="F3F6F8"/>
          </w:tcPr>
          <w:p>
            <w:pPr>
              <w:spacing w:after="0" w:line="252" w:lineRule="auto"/>
            </w:pPr>
            <w:r>
              <w:rPr>
                <w:sz w:val="19"/>
              </w:rPr>
              <w:t>Height for displacement</w:t>
            </w:r>
          </w:p>
        </w:tc>
        <w:tc>
          <w:tcPr>
            <w:tcW w:type="dxa" w:w="5472"/>
            <w:vAlign w:val="center"/>
            <w:shd w:fill="F3F6F8"/>
          </w:tcPr>
          <w:p>
            <w:pPr>
              <w:spacing w:after="0" w:line="252" w:lineRule="auto"/>
            </w:pPr>
            <w:r>
              <w:rPr>
                <w:sz w:val="19"/>
              </w:rPr>
              <w:t>Non-Color image → Displacement node → Material Output displacement; configure material displacement and subdivisions.</w:t>
            </w:r>
          </w:p>
        </w:tc>
        <w:tc>
          <w:tcPr>
            <w:tcW w:type="dxa" w:w="2952"/>
            <w:vAlign w:val="center"/>
            <w:shd w:fill="F3F6F8"/>
          </w:tcPr>
          <w:p>
            <w:pPr>
              <w:spacing w:after="0" w:line="252" w:lineRule="auto"/>
            </w:pPr>
            <w:r>
              <w:rPr>
                <w:sz w:val="19"/>
              </w:rPr>
              <w:t>Neutral level and scale follow the map specification.</w:t>
            </w:r>
          </w:p>
        </w:tc>
      </w:tr>
      <w:tr>
        <w:trPr>
          <w:cantSplit/>
        </w:trPr>
        <w:tc>
          <w:tcPr>
            <w:tcW w:type="dxa" w:w="1512"/>
            <w:vAlign w:val="center"/>
            <w:shd w:fill="FFFFFF"/>
          </w:tcPr>
          <w:p>
            <w:pPr>
              <w:spacing w:after="0" w:line="252" w:lineRule="auto"/>
            </w:pPr>
            <w:r>
              <w:rPr>
                <w:sz w:val="19"/>
              </w:rPr>
              <w:t>Masks</w:t>
            </w:r>
          </w:p>
        </w:tc>
        <w:tc>
          <w:tcPr>
            <w:tcW w:type="dxa" w:w="5472"/>
            <w:vAlign w:val="center"/>
            <w:shd w:fill="FFFFFF"/>
          </w:tcPr>
          <w:p>
            <w:pPr>
              <w:spacing w:after="0" w:line="252" w:lineRule="auto"/>
            </w:pPr>
            <w:r>
              <w:rPr>
                <w:sz w:val="19"/>
              </w:rPr>
              <w:t>Non-Color scalar data for local material changes.</w:t>
            </w:r>
          </w:p>
        </w:tc>
        <w:tc>
          <w:tcPr>
            <w:tcW w:type="dxa" w:w="2952"/>
            <w:vAlign w:val="center"/>
            <w:shd w:fill="FFFFFF"/>
          </w:tcPr>
          <w:p>
            <w:pPr>
              <w:spacing w:after="0" w:line="252" w:lineRule="auto"/>
            </w:pPr>
            <w:r>
              <w:rPr>
                <w:sz w:val="19"/>
              </w:rPr>
              <w:t>Transitions follow anatomy and remain seamless.</w:t>
            </w:r>
          </w:p>
        </w:tc>
      </w:tr>
    </w:tbl>
    <w:p>
      <w:pPr>
        <w:spacing w:after="20"/>
      </w:pPr>
    </w:p>
    <w:p>
      <w:r>
        <w:t>Tangent-space normal maps need matching texture and Normal Map UV coordinates. Verify the convention rather than assuming every supplied normal map has the same green-channel orientation. Color management must not alter vector or height data. Prefer high-bit-depth displacement data for fine gradients when available. [16, 18, 19]</w:t>
      </w:r>
    </w:p>
    <w:p>
      <w:r>
        <w:t>A scan texture or Texturing.xyz VFace map does not automatically match an MPFB or custom head. Align landmarks, project or transfer between UV layouts, repair seams and inspect stretched zones. VFace’s channel-packed displacement separates detail frequencies; decode the actual channel specification instead of treating its RGB image as one ordinary grayscale height map. [20]</w:t>
      </w:r>
    </w:p>
    <w:p>
      <w:pPr>
        <w:pStyle w:val="Heading2"/>
      </w:pPr>
      <w:r>
        <w:t>Tune the shader in a controlled order</w:t>
      </w:r>
    </w:p>
    <w:p>
      <w:r>
        <w:t>First verify actual object dimensions and transforms. Changing the scene’s displayed Unit Scale alone does not resize the geometry. Scattering, displacement and strand thickness must agree with the character’s physical size. Standardize scale before rigging and simulation where possible; avoid casually applying transforms to an already functioning rig. [21]</w:t>
      </w:r>
    </w:p>
    <w:p>
      <w:r>
        <w:t>Use Principled BSDF as the starting skin shader. Its Random Walk (Skin) method is available in Cycles. Subsurface Radius and Scale determine scattering distances; Weight blends the surface’s diffuse and subsurface response. The manual generally treats Weight as 0 or 1. Tune distance rather than treating Weight as a universal “realism” control. Specular IOR Level 0.5 is neutral adjustment, not 50 percent reflectance. [15]</w:t>
      </w:r>
    </w:p>
    <w:p>
      <w:r>
        <w:t>The manual gives measured skin anisotropy around 0.8 as a useful starting reference, not a universal calibrated setting. Compare node-group controls carefully: Universal Human’s exposed subsurface control remaps a texture, while MPFB’s Enhanced control scales scattering radii. Their suggested values cannot be compared as if they were identical physical parameters. Check the graph, radius vector, texture range, object scale and renderer version. [15, 46, 59]</w:t>
      </w:r>
    </w:p>
    <w:p>
      <w:r>
        <w:t>Blender 5.2 changes Random Walk radius scaling and anisotropy-to-albedo mapping. Older files are automatically converted to Random Walk (Legacy) for compatibility. Record the actual method after import and re-evaluate when switching methods or rebuilding the shader. This does not mean every older asset necessarily changes appearance on opening, nor that a copied numeric scale retains the same meaning across modes. [48]</w:t>
      </w:r>
    </w:p>
    <w:p>
      <w:r>
        <w:t>Start with readable color and restrained surface roughness. Then enable and tune subsurface scattering under both a soft light and a rim/backlight. Inspect ears, nostrils and cheeks. Excessively broad, soft light transport can make the face look waxy; too little can look chalky. Check mesh thickness, holes and internal overlaps before compensating with extreme settings. Add microdetail last, under light that reveals it.</w:t>
      </w:r>
    </w:p>
    <w:p>
      <w:r>
        <w:t>Current Principled workflows use Base Color for skin scattering; pre-4.0 tutorials can show different sockets. An agent should inspect available socket names and node properties in the installed version. Do not wire a material using remembered socket indices. MPFB users should explicitly select and inspect the material model: its documented default changed to MakeSkin, so loading a skin alone is not proof that the intended procedural detail is active. [1, 22]</w:t>
      </w:r>
    </w:p>
    <w:p>
      <w:pPr>
        <w:pStyle w:val="Heading2"/>
      </w:pPr>
      <w:r>
        <w:t>Use displacement only where it earns its cost</w:t>
      </w:r>
    </w:p>
    <w:p>
      <w:r>
        <w:t>For true displacement, connect the map, enable a displacement-capable material mode and provide sufficient subdivision. In the checked 5.2 API, material.displacement_method defaults to BUMP; either DISPLACEMENT or BOTH enables geometry displacement. BOTH is useful when combining displaced geometry with fine bump, but it is not the only valid choice. Set Midlevel from the map specification and compare side-lit crops with displacement off and on. If the face swells or seams split, resolve scale and mapping first. [17, 19, 50]</w:t>
      </w:r>
    </w:p>
    <w:p>
      <w:r>
        <w:t>Adaptive subdivision is no longer experimental from Blender 5.0. The Subdivision Surface modifier exposes use_adaptive_subdivision; tune its screen-pixel or object-space resolution for the shot. Fixed subdivision can also be sufficient. Do not blindly append another subdivider to an imported or Multires-based stack: inspect how it already supplies render geometry. [49, 52]</w:t>
      </w:r>
    </w:p>
    <w:p>
      <w:r>
        <w:t>Skin approval gate: the same material must look believable in neutral soft light and directional light, with visible regional variation and no seam, floating pore pattern or exaggerated ear glow. Compare denoised and undenoised crops so smoothing is not mistaken for missing texture. No fixed skin color, roughness or scattering number is correct for every person, scale and shot.</w:t>
      </w:r>
    </w:p>
    <w:p>
      <w:pPr>
        <w:pStyle w:val="Heading1"/>
      </w:pPr>
      <w:r>
        <w:t>5 Make the eyes and surrounding tissue convincing</w:t>
      </w:r>
    </w:p>
    <w:p>
      <w:r>
        <w:t>For close-ups, use a layered eye model: an eyeball with sclera, a recessed iris/pupil region, and a corneal bulge with a transmissive, refractive material. Include eyelid thickness, the inner corner and a restrained wet meniscus along the lid contact. These are recommended modeling components, not a claim that a shader alone reconstructs anatomical optics. CG Cookie’s first-party HUMAN curriculum separately addresses the sclera, iris, meniscus, brows and lashes. [23]</w:t>
      </w:r>
    </w:p>
    <w:p>
      <w:r>
        <w:t>Set globe size and placement before finishing the lids. The iris should appear to sit behind a curved surface, not as a sticker on a white sphere. Give the sclera subtle color and vessel variation instead of uniform pure white. Keep wet highlights localized; an oversized tear strip or several overlapping glass shells can create an artificial bright outline.</w:t>
      </w:r>
    </w:p>
    <w:p>
      <w:r>
        <w:t>Use a recognizable broad light reflection to inspect the cornea, and keep the iris readable. Aim both eyes at an intentional target. Inspect front, three-quarter and profile views for gaze agreement, iris depth, lid contact and protrusion. Preserve supplied eye materials if they already work; rebuild only the part that fails the shot.</w:t>
      </w:r>
    </w:p>
    <w:p>
      <w:r>
        <w:t>For suitable refractive eye setups, evaluate Cycles Shadow Caustics as an optional test: use the cornea as caster and the iris as receiver, with Shadow Caustics enabled on the contributing light. The manual illustrates caustics inside an eye and documents limitations, including smooth-normal requirements and ignored bump/normal maps in that calculation. This feature does not replace correct corneal shape or lid contact. [54]</w:t>
      </w:r>
    </w:p>
    <w:p>
      <w:r>
        <w:t>If animation is required, test a complete blink and a squint before approving the face. Lids must close over the globe without leaving a slit, cutting through the cornea or flattening into the socket. Add teeth, gums, tongue and mouth depth to the level actually revealed by the expression; bright white teeth and an empty mouth cavity can undo otherwise convincing skin.</w:t>
      </w:r>
    </w:p>
    <w:p>
      <w:pPr>
        <w:pStyle w:val="Heading1"/>
      </w:pPr>
      <w:r>
        <w:t>6 Groom hair with structure and variation</w:t>
      </w:r>
    </w:p>
    <w:p>
      <w:r>
        <w:t>Treat scalp hair, brows, eyelashes, beard and fine facial hair as separate grooms with different direction, thickness, length and density. Keep a usable supplied groom if it meets the shot; converting it to a newer system is not automatically a visual improvement. For a new Blender strand groom, Hair Curves and Geometry Nodes provide a controllable route.</w:t>
      </w:r>
    </w:p>
    <w:p>
      <w:r>
        <w:t>First establish the hairstyle silhouette and parting with a manageable guide set. Then interpolate additional strands using the correct surface and UV attachment. Use masks to fade the hairline, vary length and suppress hair where it should not grow. Add clumps of different sizes, smaller breakup and sparse flyaways after the main flow works. Randomness should support a hairstyle rather than replace one. The interpolation tools explicitly depend on surface attachment information. [24]</w:t>
      </w:r>
    </w:p>
    <w:p>
      <w:r>
        <w:t>Taper strands and vary them modestly. Brow hairs should change direction across the brow; lashes should arise from plausible lid margins and avoid equal spacing or identical mirrored fans. Add peach fuzz only at a scale and density that survives the intended camera and light without creating a white halo.</w:t>
      </w:r>
    </w:p>
    <w:p>
      <w:r>
        <w:t>Principled Hair BSDF is a Cycles shader with melanin-based controls and per-strand variation. The Huang model received close-view improvements in Blender 4.2; evaluate it with the installed version and the intended lighting. Strand thickness, groom shape and roughness remain essential regardless of the scattering model. [25, 26]</w:t>
      </w:r>
    </w:p>
    <w:p>
      <w:r>
        <w:t>Huang’s elliptical cross-section uses the curve normal to orient its major axis. Blender documents this orientation workflow for Geometry Nodes and says legacy particle hair does not support it. Human Generator currently documents particle hair and no hair-node support. This limits that specific feature; it does not mean Huang cannot shade particle hair at all, or that a good supplied groom must be converted. [25, 53]</w:t>
      </w:r>
    </w:p>
    <w:p>
      <w:r>
        <w:t>Test attachment with a head turn, brow raise and blink. Deform Curves on Surface uses UV coordinates for root attachment; follow the version’s guidance on subdivision UV smoothing and rest-surface setup. Check roots near ears and lids, scalp exposure at the part and intersections with clothes. For a real-time target, test its supported hair representation early; Blender strand shading is not guaranteed to transfer. [27]</w:t>
      </w:r>
    </w:p>
    <w:p>
      <w:pPr>
        <w:pStyle w:val="Heading1"/>
      </w:pPr>
      <w:r>
        <w:t>7 Finish clothing pose and deformation</w:t>
      </w:r>
    </w:p>
    <w:p>
      <w:r>
        <w:t>Clothing needs thickness at hems, plausible seams, appropriate fabric scale and folds that follow gravity and tension. Keep the body beneath garments accurate enough for fitting and contact. Start with garment references and a clean fit; a perfectly smooth painted-on shirt rarely explains how fabric hangs from the body.</w:t>
      </w:r>
    </w:p>
    <w:p>
      <w:r>
        <w:t>For one pose, sculpting the visible folds may be sufficient. For animation, use suitable skinning and corrective shapes, simulation, or a tested combination. Blender Studio documents sculpted clothing shapes as a production choice. For simulated motion, begin without intersections, configure collision, resolve clipping and bake a stable cache before final rendering. Keep material and thickness appropriate to the chosen fabric. [28, 29]</w:t>
      </w:r>
    </w:p>
    <w:p>
      <w:r>
        <w:t>Give a standing figure believable weight distribution, foot contact and relaxed fingers. Inspect the shoulder-neck connection, pelvis tilt and the balance of the silhouette. Avoid forcing every joint into a perfectly straight, mirrored stance unless the brief calls for it.</w:t>
      </w:r>
    </w:p>
    <w:p>
      <w:r>
        <w:t>For motion, test shoulder lift, elbow and knee bend, forearm twist, hip flexion and a head turn. For the face, test blink, squint, smile, jaw opening, lip pucker and brow movements, followed by combinations. Look for lost volume, pinching, lip separation, tooth penetration, sliding texture marks and hair-root drift. Rig generation establishes controls, not natural deformation.</w:t>
      </w:r>
    </w:p>
    <w:p>
      <w:r>
        <w:t>Use sculpted correctives where the rig alone loses the intended form. Expression-driven wrinkle or displacement changes should follow compression and stretching rather than leaving every crease equally deep in every pose. Blender Studio’s shapes approach combines rig motion, corrective forms and finer mapped detail. The required expressions should define the work; an exhaustive facial system is unnecessary for a single still. [30]</w:t>
      </w:r>
    </w:p>
    <w:p>
      <w:pPr>
        <w:pStyle w:val="Heading1"/>
      </w:pPr>
      <w:r>
        <w:t>8 Light and render for evaluation</w:t>
      </w:r>
    </w:p>
    <w:p>
      <w:pPr>
        <w:pStyle w:val="Heading2"/>
      </w:pPr>
      <w:r>
        <w:t>Separate diagnostic lighting from the final image</w:t>
      </w:r>
    </w:p>
    <w:p>
      <w:r>
        <w:t>Keep a repeatable neutral setup: a large soft key, restrained fill or environment illumination, a plain background and fixed camera/exposure. Add a second directional or grazing-light setup to reveal pores, silhouette and surface errors, plus a rim/backlight to inspect transmission and hair. Once the asset passes, create the desired final lighting. A beauty render alone can conceal important defects.</w:t>
      </w:r>
    </w:p>
    <w:p>
      <w:r>
        <w:t>Use a perspective camera at a plausible distance for the portrait. An approximately 85 mm lens on a 36 mm sensor is a useful starting experiment, not a realism requirement; camera position determines perspective. Keep depth of field off during technical review, then add it deliberately for the final composition. Inspect the eyes and critical surface detail in focus. Blender’s camera documentation explains the projection and lens controls. [31]</w:t>
      </w:r>
    </w:p>
    <w:p>
      <w:r>
        <w:t>Choose a consistent display/view transform, such as AgX, and record it with exposure and white balance. AgX compresses high dynamic range and changes highly exposed color appearance. Do not repaint a skin texture to compensate for an accidental view-transform change. Compare material variants with the same color-management settings. [32]</w:t>
      </w:r>
    </w:p>
    <w:p>
      <w:pPr>
        <w:pStyle w:val="Heading2"/>
      </w:pPr>
      <w:r>
        <w:t>Increase render cost only to answer a question</w:t>
      </w:r>
    </w:p>
    <w:p>
      <w:r>
        <w:t>Use inexpensive previews for pose and framing, then render crops at the intended final pixel scale to judge eyes, hairline and skin. Cycles adaptive sampling uses a noise threshold to allocate work; the sample limit remains a ceiling. Lower the threshold or increase the ceiling when a diagnostic crop still contains unresolved noise. Denoising helps presentation, but should be checked against an undenoised crop for fine strands and pores. [33]</w:t>
      </w:r>
    </w:p>
    <w:p>
      <w:r>
        <w:t>For animation, review a short sequence at delivery resolution. A clean still frame does not reveal hair shimmer, unstable denoising, sliding maps or broken cloth caches. Record resolution, samples, threshold, seed, denoiser and render time so the next iteration is comparable. Avoid promising a render-time budget before testing the actual GPU, groom and texture set.</w:t>
      </w:r>
    </w:p>
    <w:p>
      <w:r>
        <w:t>Blender 5.2’s optional texture cache can reduce image-heavy scenes’ memory and startup costs by loading needed tiles and resolutions from generated tx files. It adds disk usage and may modestly affect render speed; gains depend on the scene. Evaluate it for large skin map sets rather than assuming it eliminates geometry or hair memory costs. [48]</w:t>
      </w:r>
    </w:p>
    <w:p>
      <w:pPr>
        <w:pStyle w:val="Heading1"/>
      </w:pPr>
      <w:r>
        <w:t>9 Run the work as an agent review loop</w:t>
      </w:r>
    </w:p>
    <w:p>
      <w:r>
        <w:t>Automate scene setup, asset loading, map wiring, deterministic variants, baking, render jobs and evidence collection. Treat anatomy, likeness, groom design and expression quality as explicit visual judgments. Blender Studio also identifies repetitive bake/export and sculpt-preview synchronization as useful automation targets. [34]</w:t>
      </w:r>
    </w:p>
    <w:p>
      <w:r>
        <w:t>Update Geometry Nodes scripts for Blender 5.2: modifier inputs moved from custom properties to typed RNA properties. The release notes show modifier["identifier"] replaced by modifier.properties.inputs.identifier.value, with separate type and attribute-name fields. Here identifier represents the actual interface identifier. Inspect the installed node group before writing inputs, and audit related drivers and animation paths. The release also changes Compare and Random Value socket identifiers. [51]</w:t>
      </w:r>
    </w:p>
    <w:p>
      <w:pPr>
        <w:pStyle w:val="Heading2"/>
      </w:pPr>
      <w:r>
        <w:t>Use a fixed review rig</w:t>
      </w:r>
    </w:p>
    <w:p>
      <w:r>
        <w:t>Save named cameras for full body, bust, face, eye macro, hairline and hands. Lock camera transforms, lighting, exposure and color management for material comparisons. Use final-resolution crops or dedicated close cameras that provide enough pixels for the feature; upscaling a thumbnail does not recover pores or iris detail. Place the render beside the approved photographic reference at comparable framing. Review all required views after a change, not only the improved crop.</w:t>
      </w:r>
    </w:p>
    <w:p>
      <w:r>
        <w:t>The toolkit’s 320-pixel, 16-sample Lab thumbnail setting is appropriate for coarse previews, not face-detail approval. Use dedicated camera renders for that gate. Require human sign-off on identity and facial believability before final delivery; the agent should provide the evidence and remaining concerns rather than self-certify a likeness.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1656"/>
        <w:gridCol w:w="3960"/>
        <w:gridCol w:w="4320"/>
      </w:tblGrid>
      <w:tr>
        <w:trPr>
          <w:cantSplit/>
          <w:tblHeader/>
        </w:trPr>
        <w:tc>
          <w:tcPr>
            <w:tcW w:type="dxa" w:w="1656"/>
            <w:vAlign w:val="center"/>
            <w:shd w:fill="283C4E"/>
          </w:tcPr>
          <w:p>
            <w:pPr>
              <w:spacing w:after="0" w:line="252" w:lineRule="auto"/>
            </w:pPr>
            <w:r>
              <w:rPr>
                <w:b/>
                <w:color w:val="FFFFFF"/>
                <w:sz w:val="19"/>
              </w:rPr>
              <w:t>Gate</w:t>
            </w:r>
          </w:p>
        </w:tc>
        <w:tc>
          <w:tcPr>
            <w:tcW w:type="dxa" w:w="3960"/>
            <w:vAlign w:val="center"/>
            <w:shd w:fill="283C4E"/>
          </w:tcPr>
          <w:p>
            <w:pPr>
              <w:spacing w:after="0" w:line="252" w:lineRule="auto"/>
            </w:pPr>
            <w:r>
              <w:rPr>
                <w:b/>
                <w:color w:val="FFFFFF"/>
                <w:sz w:val="19"/>
              </w:rPr>
              <w:t>Evidence to save</w:t>
            </w:r>
          </w:p>
        </w:tc>
        <w:tc>
          <w:tcPr>
            <w:tcW w:type="dxa" w:w="4320"/>
            <w:vAlign w:val="center"/>
            <w:shd w:fill="283C4E"/>
          </w:tcPr>
          <w:p>
            <w:pPr>
              <w:spacing w:after="0" w:line="252" w:lineRule="auto"/>
            </w:pPr>
            <w:r>
              <w:rPr>
                <w:b/>
                <w:color w:val="FFFFFF"/>
                <w:sz w:val="19"/>
              </w:rPr>
              <w:t>Pass condition</w:t>
            </w:r>
          </w:p>
        </w:tc>
      </w:tr>
      <w:tr>
        <w:trPr>
          <w:cantSplit/>
        </w:trPr>
        <w:tc>
          <w:tcPr>
            <w:tcW w:type="dxa" w:w="1656"/>
            <w:vAlign w:val="center"/>
            <w:shd w:fill="F3F6F8"/>
          </w:tcPr>
          <w:p>
            <w:pPr>
              <w:spacing w:after="0" w:line="252" w:lineRule="auto"/>
            </w:pPr>
            <w:r>
              <w:rPr>
                <w:sz w:val="19"/>
              </w:rPr>
              <w:t>Base and scale</w:t>
            </w:r>
          </w:p>
        </w:tc>
        <w:tc>
          <w:tcPr>
            <w:tcW w:type="dxa" w:w="3960"/>
            <w:vAlign w:val="center"/>
            <w:shd w:fill="F3F6F8"/>
          </w:tcPr>
          <w:p>
            <w:pPr>
              <w:spacing w:after="0" w:line="252" w:lineRule="auto"/>
            </w:pPr>
            <w:r>
              <w:rPr>
                <w:sz w:val="19"/>
              </w:rPr>
              <w:t>Dimensions, asset inventory, front/profile/three-quarter clay renders</w:t>
            </w:r>
          </w:p>
        </w:tc>
        <w:tc>
          <w:tcPr>
            <w:tcW w:type="dxa" w:w="4320"/>
            <w:vAlign w:val="center"/>
            <w:shd w:fill="F3F6F8"/>
          </w:tcPr>
          <w:p>
            <w:pPr>
              <w:spacing w:after="0" w:line="252" w:lineRule="auto"/>
            </w:pPr>
            <w:r>
              <w:rPr>
                <w:sz w:val="19"/>
              </w:rPr>
              <w:t>Anatomy and silhouette are plausible; required components exist.</w:t>
            </w:r>
          </w:p>
        </w:tc>
      </w:tr>
      <w:tr>
        <w:trPr>
          <w:cantSplit/>
        </w:trPr>
        <w:tc>
          <w:tcPr>
            <w:tcW w:type="dxa" w:w="1656"/>
            <w:vAlign w:val="center"/>
            <w:shd w:fill="FFFFFF"/>
          </w:tcPr>
          <w:p>
            <w:pPr>
              <w:spacing w:after="0" w:line="252" w:lineRule="auto"/>
            </w:pPr>
            <w:r>
              <w:rPr>
                <w:sz w:val="19"/>
              </w:rPr>
              <w:t>Surface</w:t>
            </w:r>
          </w:p>
        </w:tc>
        <w:tc>
          <w:tcPr>
            <w:tcW w:type="dxa" w:w="3960"/>
            <w:vAlign w:val="center"/>
            <w:shd w:fill="FFFFFF"/>
          </w:tcPr>
          <w:p>
            <w:pPr>
              <w:spacing w:after="0" w:line="252" w:lineRule="auto"/>
            </w:pPr>
            <w:r>
              <w:rPr>
                <w:sz w:val="19"/>
              </w:rPr>
              <w:t>Face and neck crops under soft and directional light</w:t>
            </w:r>
          </w:p>
        </w:tc>
        <w:tc>
          <w:tcPr>
            <w:tcW w:type="dxa" w:w="4320"/>
            <w:vAlign w:val="center"/>
            <w:shd w:fill="FFFFFF"/>
          </w:tcPr>
          <w:p>
            <w:pPr>
              <w:spacing w:after="0" w:line="252" w:lineRule="auto"/>
            </w:pPr>
            <w:r>
              <w:rPr>
                <w:sz w:val="19"/>
              </w:rPr>
              <w:t>Skin has coherent detail and no visible seams or excessive scattering.</w:t>
            </w:r>
          </w:p>
        </w:tc>
      </w:tr>
      <w:tr>
        <w:trPr>
          <w:cantSplit/>
        </w:trPr>
        <w:tc>
          <w:tcPr>
            <w:tcW w:type="dxa" w:w="1656"/>
            <w:vAlign w:val="center"/>
            <w:shd w:fill="F3F6F8"/>
          </w:tcPr>
          <w:p>
            <w:pPr>
              <w:spacing w:after="0" w:line="252" w:lineRule="auto"/>
            </w:pPr>
            <w:r>
              <w:rPr>
                <w:sz w:val="19"/>
              </w:rPr>
              <w:t>Eyes and hair</w:t>
            </w:r>
          </w:p>
        </w:tc>
        <w:tc>
          <w:tcPr>
            <w:tcW w:type="dxa" w:w="3960"/>
            <w:vAlign w:val="center"/>
            <w:shd w:fill="F3F6F8"/>
          </w:tcPr>
          <w:p>
            <w:pPr>
              <w:spacing w:after="0" w:line="252" w:lineRule="auto"/>
            </w:pPr>
            <w:r>
              <w:rPr>
                <w:sz w:val="19"/>
              </w:rPr>
              <w:t>Eye, lash, brow and hairline close-ups</w:t>
            </w:r>
          </w:p>
        </w:tc>
        <w:tc>
          <w:tcPr>
            <w:tcW w:type="dxa" w:w="4320"/>
            <w:vAlign w:val="center"/>
            <w:shd w:fill="F3F6F8"/>
          </w:tcPr>
          <w:p>
            <w:pPr>
              <w:spacing w:after="0" w:line="252" w:lineRule="auto"/>
            </w:pPr>
            <w:r>
              <w:rPr>
                <w:sz w:val="19"/>
              </w:rPr>
              <w:t>Gaze, lid contact, iris depth and groom flow are convincing.</w:t>
            </w:r>
          </w:p>
        </w:tc>
      </w:tr>
      <w:tr>
        <w:trPr>
          <w:cantSplit/>
        </w:trPr>
        <w:tc>
          <w:tcPr>
            <w:tcW w:type="dxa" w:w="1656"/>
            <w:vAlign w:val="center"/>
            <w:shd w:fill="FFFFFF"/>
          </w:tcPr>
          <w:p>
            <w:pPr>
              <w:spacing w:after="0" w:line="252" w:lineRule="auto"/>
            </w:pPr>
            <w:r>
              <w:rPr>
                <w:sz w:val="19"/>
              </w:rPr>
              <w:t>Full body</w:t>
            </w:r>
          </w:p>
        </w:tc>
        <w:tc>
          <w:tcPr>
            <w:tcW w:type="dxa" w:w="3960"/>
            <w:vAlign w:val="center"/>
            <w:shd w:fill="FFFFFF"/>
          </w:tcPr>
          <w:p>
            <w:pPr>
              <w:spacing w:after="0" w:line="252" w:lineRule="auto"/>
            </w:pPr>
            <w:r>
              <w:rPr>
                <w:sz w:val="19"/>
              </w:rPr>
              <w:t>Posed body, hands, feet and garment contact views</w:t>
            </w:r>
          </w:p>
        </w:tc>
        <w:tc>
          <w:tcPr>
            <w:tcW w:type="dxa" w:w="4320"/>
            <w:vAlign w:val="center"/>
            <w:shd w:fill="FFFFFF"/>
          </w:tcPr>
          <w:p>
            <w:pPr>
              <w:spacing w:after="0" w:line="252" w:lineRule="auto"/>
            </w:pPr>
            <w:r>
              <w:rPr>
                <w:sz w:val="19"/>
              </w:rPr>
              <w:t>Weight and contact read clearly; no visible intersections.</w:t>
            </w:r>
          </w:p>
        </w:tc>
      </w:tr>
      <w:tr>
        <w:trPr>
          <w:cantSplit/>
        </w:trPr>
        <w:tc>
          <w:tcPr>
            <w:tcW w:type="dxa" w:w="1656"/>
            <w:vAlign w:val="center"/>
            <w:shd w:fill="F3F6F8"/>
          </w:tcPr>
          <w:p>
            <w:pPr>
              <w:spacing w:after="0" w:line="252" w:lineRule="auto"/>
            </w:pPr>
            <w:r>
              <w:rPr>
                <w:sz w:val="19"/>
              </w:rPr>
              <w:t>Motion if required</w:t>
            </w:r>
          </w:p>
        </w:tc>
        <w:tc>
          <w:tcPr>
            <w:tcW w:type="dxa" w:w="3960"/>
            <w:vAlign w:val="center"/>
            <w:shd w:fill="F3F6F8"/>
          </w:tcPr>
          <w:p>
            <w:pPr>
              <w:spacing w:after="0" w:line="252" w:lineRule="auto"/>
            </w:pPr>
            <w:r>
              <w:rPr>
                <w:sz w:val="19"/>
              </w:rPr>
              <w:t>Expression combinations and joint tests; short rendered sequence</w:t>
            </w:r>
          </w:p>
        </w:tc>
        <w:tc>
          <w:tcPr>
            <w:tcW w:type="dxa" w:w="4320"/>
            <w:vAlign w:val="center"/>
            <w:shd w:fill="F3F6F8"/>
          </w:tcPr>
          <w:p>
            <w:pPr>
              <w:spacing w:after="0" w:line="252" w:lineRule="auto"/>
            </w:pPr>
            <w:r>
              <w:rPr>
                <w:sz w:val="19"/>
              </w:rPr>
              <w:t>Volume, attachments and material detail remain stable.</w:t>
            </w:r>
          </w:p>
        </w:tc>
      </w:tr>
      <w:tr>
        <w:trPr>
          <w:cantSplit/>
        </w:trPr>
        <w:tc>
          <w:tcPr>
            <w:tcW w:type="dxa" w:w="1656"/>
            <w:vAlign w:val="center"/>
            <w:shd w:fill="FFFFFF"/>
          </w:tcPr>
          <w:p>
            <w:pPr>
              <w:spacing w:after="0" w:line="252" w:lineRule="auto"/>
            </w:pPr>
            <w:r>
              <w:rPr>
                <w:sz w:val="19"/>
              </w:rPr>
              <w:t>Delivery</w:t>
            </w:r>
          </w:p>
        </w:tc>
        <w:tc>
          <w:tcPr>
            <w:tcW w:type="dxa" w:w="3960"/>
            <w:vAlign w:val="center"/>
            <w:shd w:fill="FFFFFF"/>
          </w:tcPr>
          <w:p>
            <w:pPr>
              <w:spacing w:after="0" w:line="252" w:lineRule="auto"/>
            </w:pPr>
            <w:r>
              <w:rPr>
                <w:sz w:val="19"/>
              </w:rPr>
              <w:t>Reopened blend, dependency report and target-app export test</w:t>
            </w:r>
          </w:p>
        </w:tc>
        <w:tc>
          <w:tcPr>
            <w:tcW w:type="dxa" w:w="4320"/>
            <w:vAlign w:val="center"/>
            <w:shd w:fill="FFFFFF"/>
          </w:tcPr>
          <w:p>
            <w:pPr>
              <w:spacing w:after="0" w:line="252" w:lineRule="auto"/>
            </w:pPr>
            <w:r>
              <w:rPr>
                <w:sz w:val="19"/>
              </w:rPr>
              <w:t>Files reproduce the intended result in their actual destination.</w:t>
            </w:r>
          </w:p>
        </w:tc>
      </w:tr>
    </w:tbl>
    <w:p>
      <w:pPr>
        <w:spacing w:after="20"/>
      </w:pPr>
    </w:p>
    <w:p>
      <w:r>
        <w:t>For each iteration, identify the three most visible defects and choose one family of variables to change. Save the current scene, record a hypothesis, make the change, render the same views, compare and either keep or revert it. For example: “The skin looks waxy; compare lower scattering distance while keeping color, roughness, lights and camera fixed.” Do not change the lighting and shader together when trying to identify the cause.</w:t>
      </w:r>
    </w:p>
    <w:p>
      <w:r>
        <w:t>Use bounded review cycles with a saved best result, not a universal three-round stopping rule. BlenderGym documents subtle visual and parameter-estimation failures in its graphics-editing benchmark; VIGA reports benefits from iterative inspection and memory in its tested tasks. Neither proves autonomous photoreal portrait competence. A three-step experimental budget is not evidence of an optimum: Code-as-Room’s separate room-layout study improves through five rounds and worsens some metrics at ten. Stop or escalate when visible improvement stalls, changes regress or the agreed budget is reached. [55–57]</w:t>
      </w:r>
    </w:p>
    <w:p>
      <w:r>
        <w:t>A numeric report should accompany the images: measured dimensions, missing files, material assignments, image color spaces, UV names, subdivision levels, rig/shape-key availability and gross intersections where detectable. Successful Python execution proves that code ran; it does not prove visual realism. If the agent cannot view the images, it should report technical completion separately from appearance approval.</w:t>
      </w:r>
    </w:p>
    <w:p>
      <w:r>
        <w:t>Keep a compact project record: exact software versions; character brief and reference paths; asset sources and rights; map channels, UV sets and neutral displacement values; scene checkpoints; fixed review cameras and lights; parameters, seeds and scripts; render settings; unresolved defects; and approved evidence. Serialize live scene changes so parallel reviewers do not overwrite one another.</w:t>
      </w:r>
    </w:p>
    <w:p>
      <w:pPr>
        <w:pStyle w:val="Heading1"/>
        <w:pageBreakBefore/>
      </w:pPr>
      <w:r>
        <w:t>10 Diagnose the most common failures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2016"/>
        <w:gridCol w:w="3888"/>
        <w:gridCol w:w="4032"/>
      </w:tblGrid>
      <w:tr>
        <w:trPr>
          <w:cantSplit/>
          <w:tblHeader/>
        </w:trPr>
        <w:tc>
          <w:tcPr>
            <w:tcW w:type="dxa" w:w="2016"/>
            <w:vAlign w:val="center"/>
            <w:shd w:fill="283C4E"/>
          </w:tcPr>
          <w:p>
            <w:pPr>
              <w:spacing w:after="0" w:line="252" w:lineRule="auto"/>
            </w:pPr>
            <w:r>
              <w:rPr>
                <w:b/>
                <w:color w:val="FFFFFF"/>
                <w:sz w:val="19"/>
              </w:rPr>
              <w:t>Visible problem</w:t>
            </w:r>
          </w:p>
        </w:tc>
        <w:tc>
          <w:tcPr>
            <w:tcW w:type="dxa" w:w="3888"/>
            <w:vAlign w:val="center"/>
            <w:shd w:fill="283C4E"/>
          </w:tcPr>
          <w:p>
            <w:pPr>
              <w:spacing w:after="0" w:line="252" w:lineRule="auto"/>
            </w:pPr>
            <w:r>
              <w:rPr>
                <w:b/>
                <w:color w:val="FFFFFF"/>
                <w:sz w:val="19"/>
              </w:rPr>
              <w:t>First checks</w:t>
            </w:r>
          </w:p>
        </w:tc>
        <w:tc>
          <w:tcPr>
            <w:tcW w:type="dxa" w:w="4032"/>
            <w:vAlign w:val="center"/>
            <w:shd w:fill="283C4E"/>
          </w:tcPr>
          <w:p>
            <w:pPr>
              <w:spacing w:after="0" w:line="252" w:lineRule="auto"/>
            </w:pPr>
            <w:r>
              <w:rPr>
                <w:b/>
                <w:color w:val="FFFFFF"/>
                <w:sz w:val="19"/>
              </w:rPr>
              <w:t>Controlled next test</w:t>
            </w:r>
          </w:p>
        </w:tc>
      </w:tr>
      <w:tr>
        <w:trPr>
          <w:cantSplit/>
        </w:trPr>
        <w:tc>
          <w:tcPr>
            <w:tcW w:type="dxa" w:w="2016"/>
            <w:vAlign w:val="center"/>
            <w:shd w:fill="F3F6F8"/>
          </w:tcPr>
          <w:p>
            <w:pPr>
              <w:spacing w:after="0" w:line="252" w:lineRule="auto"/>
            </w:pPr>
            <w:r>
              <w:rPr>
                <w:sz w:val="19"/>
              </w:rPr>
              <w:t>Plastic or waxy skin</w:t>
            </w:r>
          </w:p>
        </w:tc>
        <w:tc>
          <w:tcPr>
            <w:tcW w:type="dxa" w:w="3888"/>
            <w:vAlign w:val="center"/>
            <w:shd w:fill="F3F6F8"/>
          </w:tcPr>
          <w:p>
            <w:pPr>
              <w:spacing w:after="0" w:line="252" w:lineRule="auto"/>
            </w:pPr>
            <w:r>
              <w:rPr>
                <w:sz w:val="19"/>
              </w:rPr>
              <w:t>Scale, scattering distance, roughness, overly uniform color, denoising</w:t>
            </w:r>
          </w:p>
        </w:tc>
        <w:tc>
          <w:tcPr>
            <w:tcW w:type="dxa" w:w="4032"/>
            <w:vAlign w:val="center"/>
            <w:shd w:fill="F3F6F8"/>
          </w:tcPr>
          <w:p>
            <w:pPr>
              <w:spacing w:after="0" w:line="252" w:lineRule="auto"/>
            </w:pPr>
            <w:r>
              <w:rPr>
                <w:sz w:val="19"/>
              </w:rPr>
              <w:t>Hold the camera/light fixed; vary scattering distance, then roughness separately.</w:t>
            </w:r>
          </w:p>
        </w:tc>
      </w:tr>
      <w:tr>
        <w:trPr>
          <w:cantSplit/>
        </w:trPr>
        <w:tc>
          <w:tcPr>
            <w:tcW w:type="dxa" w:w="2016"/>
            <w:vAlign w:val="center"/>
            <w:shd w:fill="FFFFFF"/>
          </w:tcPr>
          <w:p>
            <w:pPr>
              <w:spacing w:after="0" w:line="252" w:lineRule="auto"/>
            </w:pPr>
            <w:r>
              <w:rPr>
                <w:sz w:val="19"/>
              </w:rPr>
              <w:t>Pores resemble gravel</w:t>
            </w:r>
          </w:p>
        </w:tc>
        <w:tc>
          <w:tcPr>
            <w:tcW w:type="dxa" w:w="3888"/>
            <w:vAlign w:val="center"/>
            <w:shd w:fill="FFFFFF"/>
          </w:tcPr>
          <w:p>
            <w:pPr>
              <w:spacing w:after="0" w:line="252" w:lineRule="auto"/>
            </w:pPr>
            <w:r>
              <w:rPr>
                <w:sz w:val="19"/>
              </w:rPr>
              <w:t>Height scale, neutral level, doubled normal/bump detail, map color space</w:t>
            </w:r>
          </w:p>
        </w:tc>
        <w:tc>
          <w:tcPr>
            <w:tcW w:type="dxa" w:w="4032"/>
            <w:vAlign w:val="center"/>
            <w:shd w:fill="FFFFFF"/>
          </w:tcPr>
          <w:p>
            <w:pPr>
              <w:spacing w:after="0" w:line="252" w:lineRule="auto"/>
            </w:pPr>
            <w:r>
              <w:rPr>
                <w:sz w:val="19"/>
              </w:rPr>
              <w:t>Disable detail channels one at a time; inspect at final pixel scale.</w:t>
            </w:r>
          </w:p>
        </w:tc>
      </w:tr>
      <w:tr>
        <w:trPr>
          <w:cantSplit/>
        </w:trPr>
        <w:tc>
          <w:tcPr>
            <w:tcW w:type="dxa" w:w="2016"/>
            <w:vAlign w:val="center"/>
            <w:shd w:fill="F3F6F8"/>
          </w:tcPr>
          <w:p>
            <w:pPr>
              <w:spacing w:after="0" w:line="252" w:lineRule="auto"/>
            </w:pPr>
            <w:r>
              <w:rPr>
                <w:sz w:val="19"/>
              </w:rPr>
              <w:t>Lifeless or toy-like eyes</w:t>
            </w:r>
          </w:p>
        </w:tc>
        <w:tc>
          <w:tcPr>
            <w:tcW w:type="dxa" w:w="3888"/>
            <w:vAlign w:val="center"/>
            <w:shd w:fill="F3F6F8"/>
          </w:tcPr>
          <w:p>
            <w:pPr>
              <w:spacing w:after="0" w:line="252" w:lineRule="auto"/>
            </w:pPr>
            <w:r>
              <w:rPr>
                <w:sz w:val="19"/>
              </w:rPr>
              <w:t>Iris depth, cornea, lid fit, pure-white sclera, gaze</w:t>
            </w:r>
          </w:p>
        </w:tc>
        <w:tc>
          <w:tcPr>
            <w:tcW w:type="dxa" w:w="4032"/>
            <w:vAlign w:val="center"/>
            <w:shd w:fill="F3F6F8"/>
          </w:tcPr>
          <w:p>
            <w:pPr>
              <w:spacing w:after="0" w:line="252" w:lineRule="auto"/>
            </w:pPr>
            <w:r>
              <w:rPr>
                <w:sz w:val="19"/>
              </w:rPr>
              <w:t>Render an eye crop with a broad light reflection and no depth of field.</w:t>
            </w:r>
          </w:p>
        </w:tc>
      </w:tr>
      <w:tr>
        <w:trPr>
          <w:cantSplit/>
        </w:trPr>
        <w:tc>
          <w:tcPr>
            <w:tcW w:type="dxa" w:w="2016"/>
            <w:vAlign w:val="center"/>
            <w:shd w:fill="FFFFFF"/>
          </w:tcPr>
          <w:p>
            <w:pPr>
              <w:spacing w:after="0" w:line="252" w:lineRule="auto"/>
            </w:pPr>
            <w:r>
              <w:rPr>
                <w:sz w:val="19"/>
              </w:rPr>
              <w:t>Hair resembles a helmet</w:t>
            </w:r>
          </w:p>
        </w:tc>
        <w:tc>
          <w:tcPr>
            <w:tcW w:type="dxa" w:w="3888"/>
            <w:vAlign w:val="center"/>
            <w:shd w:fill="FFFFFF"/>
          </w:tcPr>
          <w:p>
            <w:pPr>
              <w:spacing w:after="0" w:line="252" w:lineRule="auto"/>
            </w:pPr>
            <w:r>
              <w:rPr>
                <w:sz w:val="19"/>
              </w:rPr>
              <w:t>Uniform density, rigid hairline, equal strand widths, missing parting</w:t>
            </w:r>
          </w:p>
        </w:tc>
        <w:tc>
          <w:tcPr>
            <w:tcW w:type="dxa" w:w="4032"/>
            <w:vAlign w:val="center"/>
            <w:shd w:fill="FFFFFF"/>
          </w:tcPr>
          <w:p>
            <w:pPr>
              <w:spacing w:after="0" w:line="252" w:lineRule="auto"/>
            </w:pPr>
            <w:r>
              <w:rPr>
                <w:sz w:val="19"/>
              </w:rPr>
              <w:t>Review guides and density masks before adding flyaways.</w:t>
            </w:r>
          </w:p>
        </w:tc>
      </w:tr>
      <w:tr>
        <w:trPr>
          <w:cantSplit/>
        </w:trPr>
        <w:tc>
          <w:tcPr>
            <w:tcW w:type="dxa" w:w="2016"/>
            <w:vAlign w:val="center"/>
            <w:shd w:fill="F3F6F8"/>
          </w:tcPr>
          <w:p>
            <w:pPr>
              <w:spacing w:after="0" w:line="252" w:lineRule="auto"/>
            </w:pPr>
            <w:r>
              <w:rPr>
                <w:sz w:val="19"/>
              </w:rPr>
              <w:t>Good head but artificial body</w:t>
            </w:r>
          </w:p>
        </w:tc>
        <w:tc>
          <w:tcPr>
            <w:tcW w:type="dxa" w:w="3888"/>
            <w:vAlign w:val="center"/>
            <w:shd w:fill="F3F6F8"/>
          </w:tcPr>
          <w:p>
            <w:pPr>
              <w:spacing w:after="0" w:line="252" w:lineRule="auto"/>
            </w:pPr>
            <w:r>
              <w:rPr>
                <w:sz w:val="19"/>
              </w:rPr>
              <w:t>Neck/hand texture mismatch, anatomy, pose and garment contact</w:t>
            </w:r>
          </w:p>
        </w:tc>
        <w:tc>
          <w:tcPr>
            <w:tcW w:type="dxa" w:w="4032"/>
            <w:vAlign w:val="center"/>
            <w:shd w:fill="F3F6F8"/>
          </w:tcPr>
          <w:p>
            <w:pPr>
              <w:spacing w:after="0" w:line="252" w:lineRule="auto"/>
            </w:pPr>
            <w:r>
              <w:rPr>
                <w:sz w:val="19"/>
              </w:rPr>
              <w:t>Use neutral full-body and hand close-ups with consistent lighting.</w:t>
            </w:r>
          </w:p>
        </w:tc>
      </w:tr>
      <w:tr>
        <w:trPr>
          <w:cantSplit/>
        </w:trPr>
        <w:tc>
          <w:tcPr>
            <w:tcW w:type="dxa" w:w="2016"/>
            <w:vAlign w:val="center"/>
            <w:shd w:fill="FFFFFF"/>
          </w:tcPr>
          <w:p>
            <w:pPr>
              <w:spacing w:after="0" w:line="252" w:lineRule="auto"/>
            </w:pPr>
            <w:r>
              <w:rPr>
                <w:sz w:val="19"/>
              </w:rPr>
              <w:t>Good still but poor animation</w:t>
            </w:r>
          </w:p>
        </w:tc>
        <w:tc>
          <w:tcPr>
            <w:tcW w:type="dxa" w:w="3888"/>
            <w:vAlign w:val="center"/>
            <w:shd w:fill="FFFFFF"/>
          </w:tcPr>
          <w:p>
            <w:pPr>
              <w:spacing w:after="0" w:line="252" w:lineRule="auto"/>
            </w:pPr>
            <w:r>
              <w:rPr>
                <w:sz w:val="19"/>
              </w:rPr>
              <w:t>Joint volume, eyelid closure, sliding roots, cloth and temporal noise</w:t>
            </w:r>
          </w:p>
        </w:tc>
        <w:tc>
          <w:tcPr>
            <w:tcW w:type="dxa" w:w="4032"/>
            <w:vAlign w:val="center"/>
            <w:shd w:fill="FFFFFF"/>
          </w:tcPr>
          <w:p>
            <w:pPr>
              <w:spacing w:after="0" w:line="252" w:lineRule="auto"/>
            </w:pPr>
            <w:r>
              <w:rPr>
                <w:sz w:val="19"/>
              </w:rPr>
              <w:t>Render the smallest failing motion and fix that subsystem.</w:t>
            </w:r>
          </w:p>
        </w:tc>
      </w:tr>
    </w:tbl>
    <w:p>
      <w:pPr>
        <w:spacing w:after="20"/>
      </w:pPr>
    </w:p>
    <w:p>
      <w:pPr>
        <w:pStyle w:val="Heading2"/>
      </w:pPr>
      <w:r>
        <w:t>Recommended first experiment</w:t>
      </w:r>
    </w:p>
    <w:p>
      <w:r>
        <w:t>Build one clothed adult character with a simple hairstyle and neutral expression. Preserve the full-body base, but start with a head-and-shoulders proof render. Make four checkpoints: approved clay anatomy; skin and eyes; completed groom; and a posed full-body image. If motion is required, add a blink, smile and head turn before expanding the animation system.</w:t>
      </w:r>
    </w:p>
    <w:p>
      <w:r>
        <w:t>Use MPFB plus its selected assets first if cost and reproducibility are the priorities. If face close-ups are a required deliverable, compare a prepared human or scan at that distance before committing the full build. Decide which route needs less repair using the same camera, lights and resolution. Complete a human face review and, where relevant, a short expression test. This comparison turns the source recommendation into project-specific evidence.</w:t>
      </w:r>
    </w:p>
    <w:p>
      <w:pPr>
        <w:pStyle w:val="Heading1"/>
      </w:pPr>
      <w:r>
        <w:t>Sources and further reading</w:t>
      </w:r>
    </w:p>
    <w:p>
      <w:r>
        <w:t>Primary documentation and first-party production material reviewed on 2 October 2026. Links below are clickable. Blender Manual pages use explicit versions where practical; confirm the corresponding controls in the project’s installed build. The CHARGE-era Studio articles describe production experience, including historical limitations, rather than a guarantee about current Blender behavior.</w:t>
      </w:r>
    </w:p>
    <w:p>
      <w:pPr>
        <w:spacing w:after="80"/>
      </w:pPr>
      <w:r>
        <w:rPr>
          <w:sz w:val="19"/>
        </w:rPr>
        <w:t xml:space="preserve">[1] </w:t>
      </w:r>
      <w:hyperlink r:id="rId10">
        <w:r>
          <w:rPr>
            <w:color w:val="245477"/>
            <w:sz w:val="19"/>
          </w:rPr>
          <w:t>MPFB skin material selection</w:t>
        </w:r>
      </w:hyperlink>
      <w:r>
        <w:rPr>
          <w:sz w:val="19"/>
        </w:rPr>
        <w:t xml:space="preserve"> — Default material caveat.</w:t>
      </w:r>
    </w:p>
    <w:p>
      <w:pPr>
        <w:spacing w:after="80"/>
      </w:pPr>
      <w:r>
        <w:rPr>
          <w:sz w:val="19"/>
        </w:rPr>
        <w:t xml:space="preserve">[2] </w:t>
      </w:r>
      <w:hyperlink r:id="rId11">
        <w:r>
          <w:rPr>
            <w:color w:val="245477"/>
            <w:sz w:val="19"/>
          </w:rPr>
          <w:t>MakeHuman and MPFB licensing</w:t>
        </w:r>
      </w:hyperlink>
      <w:r>
        <w:rPr>
          <w:sz w:val="19"/>
        </w:rPr>
        <w:t xml:space="preserve"> — Core assets; inspect third-party pack terms separately.</w:t>
      </w:r>
    </w:p>
    <w:p>
      <w:pPr>
        <w:spacing w:after="80"/>
      </w:pPr>
      <w:r>
        <w:rPr>
          <w:sz w:val="19"/>
        </w:rPr>
        <w:t xml:space="preserve">[3] </w:t>
      </w:r>
      <w:hyperlink r:id="rId12">
        <w:r>
          <w:rPr>
            <w:color w:val="245477"/>
            <w:sz w:val="19"/>
          </w:rPr>
          <w:t>Human Generator Python API overview</w:t>
        </w:r>
      </w:hyperlink>
      <w:r>
        <w:rPr>
          <w:sz w:val="19"/>
        </w:rPr>
        <w:t xml:space="preserve"> — Creation, editing and batch automation.</w:t>
      </w:r>
    </w:p>
    <w:p>
      <w:pPr>
        <w:spacing w:after="80"/>
      </w:pPr>
      <w:r>
        <w:rPr>
          <w:sz w:val="19"/>
        </w:rPr>
        <w:t xml:space="preserve">[4] </w:t>
      </w:r>
      <w:hyperlink r:id="rId13">
        <w:r>
          <w:rPr>
            <w:color w:val="245477"/>
            <w:sz w:val="19"/>
          </w:rPr>
          <w:t>Human Generator product and skin guide</w:t>
        </w:r>
      </w:hyperlink>
      <w:r>
        <w:rPr>
          <w:sz w:val="19"/>
        </w:rPr>
        <w:t xml:space="preserve"> — Texture and skin controls.</w:t>
      </w:r>
    </w:p>
    <w:p>
      <w:pPr>
        <w:spacing w:after="80"/>
      </w:pPr>
      <w:r>
        <w:rPr>
          <w:sz w:val="19"/>
        </w:rPr>
        <w:t xml:space="preserve">[5] </w:t>
      </w:r>
      <w:hyperlink r:id="rId14">
        <w:r>
          <w:rPr>
            <w:color w:val="245477"/>
            <w:sz w:val="19"/>
          </w:rPr>
          <w:t>Human Generator License FAQ</w:t>
        </w:r>
      </w:hyperlink>
      <w:r>
        <w:rPr>
          <w:sz w:val="19"/>
        </w:rPr>
        <w:t xml:space="preserve"> — Distinguishes add-on code from digital asset rights.</w:t>
      </w:r>
    </w:p>
    <w:p>
      <w:pPr>
        <w:spacing w:after="80"/>
      </w:pPr>
      <w:r>
        <w:rPr>
          <w:sz w:val="19"/>
        </w:rPr>
        <w:t xml:space="preserve">[6] </w:t>
      </w:r>
      <w:hyperlink r:id="rId15">
        <w:r>
          <w:rPr>
            <w:color w:val="245477"/>
            <w:sz w:val="19"/>
          </w:rPr>
          <w:t>3D Scan Store Female 27 package</w:t>
        </w:r>
      </w:hyperlink>
      <w:r>
        <w:rPr>
          <w:sz w:val="19"/>
        </w:rPr>
        <w:t xml:space="preserve"> — Concrete example of scan delivery contents.</w:t>
      </w:r>
    </w:p>
    <w:p>
      <w:pPr>
        <w:spacing w:after="80"/>
      </w:pPr>
      <w:r>
        <w:rPr>
          <w:sz w:val="19"/>
        </w:rPr>
        <w:t xml:space="preserve">[7] </w:t>
      </w:r>
      <w:hyperlink r:id="rId16">
        <w:r>
          <w:rPr>
            <w:color w:val="245477"/>
            <w:sz w:val="19"/>
          </w:rPr>
          <w:t>3D Scan Store licensing terms</w:t>
        </w:r>
      </w:hyperlink>
      <w:r>
        <w:rPr>
          <w:sz w:val="19"/>
        </w:rPr>
        <w:t xml:space="preserve"> — Use and redistribution conditions.</w:t>
      </w:r>
    </w:p>
    <w:p>
      <w:pPr>
        <w:spacing w:after="80"/>
      </w:pPr>
      <w:r>
        <w:rPr>
          <w:sz w:val="19"/>
        </w:rPr>
        <w:t xml:space="preserve">[8] </w:t>
      </w:r>
      <w:hyperlink r:id="rId17">
        <w:r>
          <w:rPr>
            <w:color w:val="245477"/>
            <w:sz w:val="19"/>
          </w:rPr>
          <w:t>Blender demo files and Human Base Meshes</w:t>
        </w:r>
      </w:hyperlink>
      <w:r>
        <w:rPr>
          <w:sz w:val="19"/>
        </w:rPr>
        <w:t xml:space="preserve"> — CC0 base geometry bundle.</w:t>
      </w:r>
    </w:p>
    <w:p>
      <w:pPr>
        <w:spacing w:after="80"/>
      </w:pPr>
      <w:r>
        <w:rPr>
          <w:sz w:val="19"/>
        </w:rPr>
        <w:t xml:space="preserve">[9] </w:t>
      </w:r>
      <w:hyperlink r:id="rId18">
        <w:r>
          <w:rPr>
            <w:color w:val="245477"/>
            <w:sz w:val="19"/>
          </w:rPr>
          <w:t>Blender Studio Use of Base Meshes</w:t>
        </w:r>
      </w:hyperlink>
      <w:r>
        <w:rPr>
          <w:sz w:val="19"/>
        </w:rPr>
        <w:t xml:space="preserve"> — Sculpting base, scale and pose.</w:t>
      </w:r>
    </w:p>
    <w:p>
      <w:pPr>
        <w:spacing w:after="80"/>
      </w:pPr>
      <w:r>
        <w:rPr>
          <w:sz w:val="19"/>
        </w:rPr>
        <w:t xml:space="preserve">[10] </w:t>
      </w:r>
      <w:hyperlink r:id="rId19">
        <w:r>
          <w:rPr>
            <w:color w:val="245477"/>
            <w:sz w:val="19"/>
          </w:rPr>
          <w:t>Blender Studio Design Sculpting</w:t>
        </w:r>
      </w:hyperlink>
      <w:r>
        <w:rPr>
          <w:sz w:val="19"/>
        </w:rPr>
        <w:t xml:space="preserve"> — Design approval, reference and asymmetry.</w:t>
      </w:r>
    </w:p>
    <w:p>
      <w:pPr>
        <w:spacing w:after="80"/>
      </w:pPr>
      <w:r>
        <w:rPr>
          <w:sz w:val="19"/>
        </w:rPr>
        <w:t xml:space="preserve">[11] </w:t>
      </w:r>
      <w:hyperlink r:id="rId20">
        <w:r>
          <w:rPr>
            <w:color w:val="245477"/>
            <w:sz w:val="19"/>
          </w:rPr>
          <w:t>Blender Studio Generic Retopology</w:t>
        </w:r>
      </w:hyperlink>
      <w:r>
        <w:rPr>
          <w:sz w:val="19"/>
        </w:rPr>
        <w:t xml:space="preserve"> — Geometry for later sculpting and motion.</w:t>
      </w:r>
    </w:p>
    <w:p>
      <w:pPr>
        <w:spacing w:after="80"/>
      </w:pPr>
      <w:r>
        <w:rPr>
          <w:sz w:val="19"/>
        </w:rPr>
        <w:t xml:space="preserve">[12] </w:t>
      </w:r>
      <w:hyperlink r:id="rId21">
        <w:r>
          <w:rPr>
            <w:color w:val="245477"/>
            <w:sz w:val="19"/>
          </w:rPr>
          <w:t>Blender Manual Multiresolution</w:t>
        </w:r>
      </w:hyperlink>
      <w:r>
        <w:rPr>
          <w:sz w:val="19"/>
        </w:rPr>
        <w:t xml:space="preserve"> — Subdivision-based sculpt detail.</w:t>
      </w:r>
    </w:p>
    <w:p>
      <w:pPr>
        <w:spacing w:after="80"/>
      </w:pPr>
      <w:r>
        <w:rPr>
          <w:sz w:val="19"/>
        </w:rPr>
        <w:t xml:space="preserve">[13] </w:t>
      </w:r>
      <w:hyperlink r:id="rId22">
        <w:r>
          <w:rPr>
            <w:color w:val="245477"/>
            <w:sz w:val="19"/>
          </w:rPr>
          <w:t>Blender Studio Layered Sculpting for Einar</w:t>
        </w:r>
      </w:hyperlink>
      <w:r>
        <w:rPr>
          <w:sz w:val="19"/>
        </w:rPr>
        <w:t xml:space="preserve"> — Production lessons and topology dependencies.</w:t>
      </w:r>
    </w:p>
    <w:p>
      <w:pPr>
        <w:spacing w:after="80"/>
      </w:pPr>
      <w:r>
        <w:rPr>
          <w:sz w:val="19"/>
        </w:rPr>
        <w:t xml:space="preserve">[14] </w:t>
      </w:r>
      <w:hyperlink r:id="rId23">
        <w:r>
          <w:rPr>
            <w:color w:val="245477"/>
            <w:sz w:val="19"/>
          </w:rPr>
          <w:t>Blender Studio The Three Levels of Baking</w:t>
        </w:r>
      </w:hyperlink>
      <w:r>
        <w:rPr>
          <w:sz w:val="19"/>
        </w:rPr>
        <w:t xml:space="preserve"> — Shapes, displacement and bump.</w:t>
      </w:r>
    </w:p>
    <w:p>
      <w:pPr>
        <w:spacing w:after="80"/>
      </w:pPr>
      <w:r>
        <w:rPr>
          <w:sz w:val="19"/>
        </w:rPr>
        <w:t xml:space="preserve">[15] </w:t>
      </w:r>
      <w:hyperlink r:id="rId24">
        <w:r>
          <w:rPr>
            <w:color w:val="245477"/>
            <w:sz w:val="19"/>
          </w:rPr>
          <w:t>Blender Manual Principled BSDF</w:t>
        </w:r>
      </w:hyperlink>
      <w:r>
        <w:rPr>
          <w:sz w:val="19"/>
        </w:rPr>
        <w:t xml:space="preserve"> — Subsurface, anisotropy and specular controls.</w:t>
      </w:r>
    </w:p>
    <w:p>
      <w:pPr>
        <w:spacing w:after="80"/>
      </w:pPr>
      <w:r>
        <w:rPr>
          <w:sz w:val="19"/>
        </w:rPr>
        <w:t xml:space="preserve">[16] </w:t>
      </w:r>
      <w:hyperlink r:id="rId25">
        <w:r>
          <w:rPr>
            <w:color w:val="245477"/>
            <w:sz w:val="19"/>
          </w:rPr>
          <w:t>Blender Manual Normal Map</w:t>
        </w:r>
      </w:hyperlink>
      <w:r>
        <w:rPr>
          <w:sz w:val="19"/>
        </w:rPr>
        <w:t xml:space="preserve"> — Tangent space and UV requirements.</w:t>
      </w:r>
    </w:p>
    <w:p>
      <w:pPr>
        <w:spacing w:after="80"/>
      </w:pPr>
      <w:r>
        <w:rPr>
          <w:sz w:val="19"/>
        </w:rPr>
        <w:t xml:space="preserve">[17] </w:t>
      </w:r>
      <w:hyperlink r:id="rId26">
        <w:r>
          <w:rPr>
            <w:color w:val="245477"/>
            <w:sz w:val="19"/>
          </w:rPr>
          <w:t>Blender Manual Cycles Material Settings</w:t>
        </w:r>
      </w:hyperlink>
      <w:r>
        <w:rPr>
          <w:sz w:val="19"/>
        </w:rPr>
        <w:t xml:space="preserve"> — Bump and displacement modes.</w:t>
      </w:r>
    </w:p>
    <w:p>
      <w:pPr>
        <w:spacing w:after="80"/>
      </w:pPr>
      <w:r>
        <w:rPr>
          <w:sz w:val="19"/>
        </w:rPr>
        <w:t xml:space="preserve">[18] </w:t>
      </w:r>
      <w:hyperlink r:id="rId27">
        <w:r>
          <w:rPr>
            <w:color w:val="245477"/>
            <w:sz w:val="19"/>
          </w:rPr>
          <w:t>Blender Manual Color Management</w:t>
        </w:r>
      </w:hyperlink>
      <w:r>
        <w:rPr>
          <w:sz w:val="19"/>
        </w:rPr>
        <w:t xml:space="preserve"> — Color interpretation and non-color data.</w:t>
      </w:r>
    </w:p>
    <w:p>
      <w:pPr>
        <w:spacing w:after="80"/>
      </w:pPr>
      <w:r>
        <w:rPr>
          <w:sz w:val="19"/>
        </w:rPr>
        <w:t xml:space="preserve">[19] </w:t>
      </w:r>
      <w:hyperlink r:id="rId28">
        <w:r>
          <w:rPr>
            <w:color w:val="245477"/>
            <w:sz w:val="19"/>
          </w:rPr>
          <w:t>Blender Manual Material Displacement</w:t>
        </w:r>
      </w:hyperlink>
      <w:r>
        <w:rPr>
          <w:sz w:val="19"/>
        </w:rPr>
        <w:t xml:space="preserve"> — Geometry density and displacement precision.</w:t>
      </w:r>
    </w:p>
    <w:p>
      <w:pPr>
        <w:spacing w:after="80"/>
      </w:pPr>
      <w:r>
        <w:rPr>
          <w:sz w:val="19"/>
        </w:rPr>
        <w:t xml:space="preserve">[20] </w:t>
      </w:r>
      <w:hyperlink r:id="rId29">
        <w:r>
          <w:rPr>
            <w:color w:val="245477"/>
            <w:sz w:val="19"/>
          </w:rPr>
          <w:t>Texturing.xyz VFace displacement</w:t>
        </w:r>
      </w:hyperlink>
      <w:r>
        <w:rPr>
          <w:sz w:val="19"/>
        </w:rPr>
        <w:t xml:space="preserve"> — Channel-packed facial detail.</w:t>
      </w:r>
    </w:p>
    <w:p>
      <w:pPr>
        <w:spacing w:after="80"/>
      </w:pPr>
      <w:r>
        <w:rPr>
          <w:sz w:val="19"/>
        </w:rPr>
        <w:t xml:space="preserve">[21] </w:t>
      </w:r>
      <w:hyperlink r:id="rId30">
        <w:r>
          <w:rPr>
            <w:color w:val="245477"/>
            <w:sz w:val="19"/>
          </w:rPr>
          <w:t>Blender Manual Scene Properties</w:t>
        </w:r>
      </w:hyperlink>
      <w:r>
        <w:rPr>
          <w:sz w:val="19"/>
        </w:rPr>
        <w:t xml:space="preserve"> — Units and Unit Scale.</w:t>
      </w:r>
    </w:p>
    <w:p>
      <w:pPr>
        <w:spacing w:after="80"/>
      </w:pPr>
      <w:r>
        <w:rPr>
          <w:sz w:val="19"/>
        </w:rPr>
        <w:t xml:space="preserve">[22] </w:t>
      </w:r>
      <w:hyperlink r:id="rId31">
        <w:r>
          <w:rPr>
            <w:color w:val="245477"/>
            <w:sz w:val="19"/>
          </w:rPr>
          <w:t>Blender 4.0 Shading and Texturing release notes</w:t>
        </w:r>
      </w:hyperlink>
      <w:r>
        <w:rPr>
          <w:sz w:val="19"/>
        </w:rPr>
        <w:t xml:space="preserve"> — Principled shader changes relevant to old tutorials.</w:t>
      </w:r>
    </w:p>
    <w:p>
      <w:pPr>
        <w:spacing w:after="80"/>
      </w:pPr>
      <w:r>
        <w:rPr>
          <w:sz w:val="19"/>
        </w:rPr>
        <w:t xml:space="preserve">[23] </w:t>
      </w:r>
      <w:hyperlink r:id="rId32">
        <w:r>
          <w:rPr>
            <w:color w:val="245477"/>
            <w:sz w:val="19"/>
          </w:rPr>
          <w:t>CG Cookie HUMAN course outline</w:t>
        </w:r>
      </w:hyperlink>
      <w:r>
        <w:rPr>
          <w:sz w:val="19"/>
        </w:rPr>
        <w:t xml:space="preserve"> — First-party portrait curriculum; outline, not lesson verification.</w:t>
      </w:r>
    </w:p>
    <w:p>
      <w:pPr>
        <w:spacing w:after="80"/>
      </w:pPr>
      <w:r>
        <w:rPr>
          <w:sz w:val="19"/>
        </w:rPr>
        <w:t xml:space="preserve">[24] </w:t>
      </w:r>
      <w:hyperlink r:id="rId33">
        <w:r>
          <w:rPr>
            <w:color w:val="245477"/>
            <w:sz w:val="19"/>
          </w:rPr>
          <w:t>Blender Manual Interpolate Hair Curves</w:t>
        </w:r>
      </w:hyperlink>
      <w:r>
        <w:rPr>
          <w:sz w:val="19"/>
        </w:rPr>
        <w:t xml:space="preserve"> — Guides, density and attachment.</w:t>
      </w:r>
    </w:p>
    <w:p>
      <w:pPr>
        <w:spacing w:after="80"/>
      </w:pPr>
      <w:r>
        <w:rPr>
          <w:sz w:val="19"/>
        </w:rPr>
        <w:t xml:space="preserve">[25] </w:t>
      </w:r>
      <w:hyperlink r:id="rId34">
        <w:r>
          <w:rPr>
            <w:color w:val="245477"/>
            <w:sz w:val="19"/>
          </w:rPr>
          <w:t>Blender Manual Principled Hair BSDF</w:t>
        </w:r>
      </w:hyperlink>
      <w:r>
        <w:rPr>
          <w:sz w:val="19"/>
        </w:rPr>
        <w:t xml:space="preserve"> — Cycles shading and elliptical-strand orientation.</w:t>
      </w:r>
    </w:p>
    <w:p>
      <w:pPr>
        <w:spacing w:after="80"/>
      </w:pPr>
      <w:r>
        <w:rPr>
          <w:sz w:val="19"/>
        </w:rPr>
        <w:t xml:space="preserve">[26] </w:t>
      </w:r>
      <w:hyperlink r:id="rId35">
        <w:r>
          <w:rPr>
            <w:color w:val="245477"/>
            <w:sz w:val="19"/>
          </w:rPr>
          <w:t>Blender 4.2 Cycles release notes</w:t>
        </w:r>
      </w:hyperlink>
      <w:r>
        <w:rPr>
          <w:sz w:val="19"/>
        </w:rPr>
        <w:t xml:space="preserve"> — Huang close-view improvements.</w:t>
      </w:r>
    </w:p>
    <w:p>
      <w:pPr>
        <w:spacing w:after="80"/>
      </w:pPr>
      <w:r>
        <w:rPr>
          <w:sz w:val="19"/>
        </w:rPr>
        <w:t xml:space="preserve">[27] </w:t>
      </w:r>
      <w:hyperlink r:id="rId36">
        <w:r>
          <w:rPr>
            <w:color w:val="245477"/>
            <w:sz w:val="19"/>
          </w:rPr>
          <w:t>Blender Manual Deform Curves on Surface</w:t>
        </w:r>
      </w:hyperlink>
      <w:r>
        <w:rPr>
          <w:sz w:val="19"/>
        </w:rPr>
        <w:t xml:space="preserve"> — UV-driven root attachment.</w:t>
      </w:r>
    </w:p>
    <w:p>
      <w:pPr>
        <w:spacing w:after="80"/>
      </w:pPr>
      <w:r>
        <w:rPr>
          <w:sz w:val="19"/>
        </w:rPr>
        <w:t xml:space="preserve">[28] </w:t>
      </w:r>
      <w:hyperlink r:id="rId37">
        <w:r>
          <w:rPr>
            <w:color w:val="245477"/>
            <w:sz w:val="19"/>
          </w:rPr>
          <w:t>Blender Studio Clothing Shapes</w:t>
        </w:r>
      </w:hyperlink>
      <w:r>
        <w:rPr>
          <w:sz w:val="19"/>
        </w:rPr>
        <w:t xml:space="preserve"> — Sculpted garment deformation.</w:t>
      </w:r>
    </w:p>
    <w:p>
      <w:pPr>
        <w:spacing w:after="80"/>
      </w:pPr>
      <w:r>
        <w:rPr>
          <w:sz w:val="19"/>
        </w:rPr>
        <w:t xml:space="preserve">[29] </w:t>
      </w:r>
      <w:hyperlink r:id="rId38">
        <w:r>
          <w:rPr>
            <w:color w:val="245477"/>
            <w:sz w:val="19"/>
          </w:rPr>
          <w:t>Blender Manual Cloth Cache</w:t>
        </w:r>
      </w:hyperlink>
      <w:r>
        <w:rPr>
          <w:sz w:val="19"/>
        </w:rPr>
        <w:t xml:space="preserve"> — Simulation caching.</w:t>
      </w:r>
    </w:p>
    <w:p>
      <w:pPr>
        <w:spacing w:after="80"/>
      </w:pPr>
      <w:r>
        <w:rPr>
          <w:sz w:val="19"/>
        </w:rPr>
        <w:t xml:space="preserve">[30] </w:t>
      </w:r>
      <w:hyperlink r:id="rId39">
        <w:r>
          <w:rPr>
            <w:color w:val="245477"/>
            <w:sz w:val="19"/>
          </w:rPr>
          <w:t>Blender Studio The Shapes Approach</w:t>
        </w:r>
      </w:hyperlink>
      <w:r>
        <w:rPr>
          <w:sz w:val="19"/>
        </w:rPr>
        <w:t xml:space="preserve"> — Rig motion, corrective shapes and mapped detail.</w:t>
      </w:r>
    </w:p>
    <w:p>
      <w:pPr>
        <w:spacing w:after="80"/>
      </w:pPr>
      <w:r>
        <w:rPr>
          <w:sz w:val="19"/>
        </w:rPr>
        <w:t xml:space="preserve">[31] </w:t>
      </w:r>
      <w:hyperlink r:id="rId40">
        <w:r>
          <w:rPr>
            <w:color w:val="245477"/>
            <w:sz w:val="19"/>
          </w:rPr>
          <w:t>Blender Manual Cameras</w:t>
        </w:r>
      </w:hyperlink>
      <w:r>
        <w:rPr>
          <w:sz w:val="19"/>
        </w:rPr>
        <w:t xml:space="preserve"> — Perspective, focal length and depth of field.</w:t>
      </w:r>
    </w:p>
    <w:p>
      <w:pPr>
        <w:spacing w:after="80"/>
      </w:pPr>
      <w:r>
        <w:rPr>
          <w:sz w:val="19"/>
        </w:rPr>
        <w:t xml:space="preserve">[32] </w:t>
      </w:r>
      <w:hyperlink r:id="rId41">
        <w:r>
          <w:rPr>
            <w:color w:val="245477"/>
            <w:sz w:val="19"/>
          </w:rPr>
          <w:t>Blender Manual Displays and Views</w:t>
        </w:r>
      </w:hyperlink>
      <w:r>
        <w:rPr>
          <w:sz w:val="19"/>
        </w:rPr>
        <w:t xml:space="preserve"> — AgX and display transforms.</w:t>
      </w:r>
    </w:p>
    <w:p>
      <w:pPr>
        <w:spacing w:after="80"/>
      </w:pPr>
      <w:r>
        <w:rPr>
          <w:sz w:val="19"/>
        </w:rPr>
        <w:t xml:space="preserve">[33] </w:t>
      </w:r>
      <w:hyperlink r:id="rId42">
        <w:r>
          <w:rPr>
            <w:color w:val="245477"/>
            <w:sz w:val="19"/>
          </w:rPr>
          <w:t>Blender Manual Cycles Sampling</w:t>
        </w:r>
      </w:hyperlink>
      <w:r>
        <w:rPr>
          <w:sz w:val="19"/>
        </w:rPr>
        <w:t xml:space="preserve"> — Adaptive sampling and denoising.</w:t>
      </w:r>
    </w:p>
    <w:p>
      <w:pPr>
        <w:spacing w:after="80"/>
      </w:pPr>
      <w:r>
        <w:rPr>
          <w:sz w:val="19"/>
        </w:rPr>
        <w:t xml:space="preserve">[34] </w:t>
      </w:r>
      <w:hyperlink r:id="rId43">
        <w:r>
          <w:rPr>
            <w:color w:val="245477"/>
            <w:sz w:val="19"/>
          </w:rPr>
          <w:t>Blender Studio Automation</w:t>
        </w:r>
      </w:hyperlink>
      <w:r>
        <w:rPr>
          <w:sz w:val="19"/>
        </w:rPr>
        <w:t xml:space="preserve"> — Production tasks suited to scripting.</w:t>
      </w:r>
    </w:p>
    <w:p>
      <w:pPr>
        <w:spacing w:after="80"/>
      </w:pPr>
      <w:r>
        <w:rPr>
          <w:sz w:val="19"/>
        </w:rPr>
        <w:t xml:space="preserve">[35] </w:t>
      </w:r>
      <w:hyperlink r:id="rId44">
        <w:r>
          <w:rPr>
            <w:color w:val="245477"/>
            <w:sz w:val="19"/>
          </w:rPr>
          <w:t>MPFB HumanService documentation</w:t>
        </w:r>
      </w:hyperlink>
      <w:r>
        <w:rPr>
          <w:sz w:val="19"/>
        </w:rPr>
        <w:t xml:space="preserve"> — Scripted creation, assets and materials; match the installed release.</w:t>
      </w:r>
    </w:p>
    <w:p>
      <w:pPr>
        <w:spacing w:after="80"/>
      </w:pPr>
      <w:r>
        <w:rPr>
          <w:sz w:val="19"/>
        </w:rPr>
        <w:t xml:space="preserve">[36] </w:t>
      </w:r>
      <w:hyperlink r:id="rId45">
        <w:r>
          <w:rPr>
            <w:color w:val="245477"/>
            <w:sz w:val="19"/>
          </w:rPr>
          <w:t>Kent Trammell Making a Photorealistic 3D Portrait</w:t>
        </w:r>
      </w:hyperlink>
      <w:r>
        <w:rPr>
          <w:sz w:val="19"/>
        </w:rPr>
        <w:t xml:space="preserve"> — Hand-authored Blender workflow without scan data or photo textures.</w:t>
      </w:r>
    </w:p>
    <w:p>
      <w:pPr>
        <w:spacing w:after="80"/>
      </w:pPr>
      <w:r>
        <w:rPr>
          <w:sz w:val="19"/>
        </w:rPr>
        <w:t xml:space="preserve">[37] </w:t>
      </w:r>
      <w:hyperlink r:id="rId46">
        <w:r>
          <w:rPr>
            <w:color w:val="245477"/>
            <w:sz w:val="19"/>
          </w:rPr>
          <w:t>MPFB Materials</w:t>
        </w:r>
      </w:hyperlink>
      <w:r>
        <w:rPr>
          <w:sz w:val="19"/>
        </w:rPr>
        <w:t xml:space="preserve"> — MakeSkin PBR support and procedural or textured eye alternatives.</w:t>
      </w:r>
    </w:p>
    <w:p>
      <w:pPr>
        <w:spacing w:after="80"/>
      </w:pPr>
      <w:r>
        <w:rPr>
          <w:sz w:val="19"/>
        </w:rPr>
        <w:t xml:space="preserve">[38] </w:t>
      </w:r>
      <w:hyperlink r:id="rId47">
        <w:r>
          <w:rPr>
            <w:color w:val="245477"/>
            <w:sz w:val="19"/>
          </w:rPr>
          <w:t>Epic MetaHuman licensing</w:t>
        </w:r>
      </w:hyperlink>
      <w:r>
        <w:rPr>
          <w:sz w:val="19"/>
        </w:rPr>
        <w:t xml:space="preserve"> — Current application-use and revenue terms.</w:t>
      </w:r>
    </w:p>
    <w:p>
      <w:pPr>
        <w:spacing w:after="80"/>
      </w:pPr>
      <w:r>
        <w:rPr>
          <w:sz w:val="19"/>
        </w:rPr>
        <w:t xml:space="preserve">[39] </w:t>
      </w:r>
      <w:hyperlink r:id="rId48">
        <w:r>
          <w:rPr>
            <w:color w:val="245477"/>
            <w:sz w:val="19"/>
          </w:rPr>
          <w:t>Poly Hammer Character DNA repository</w:t>
        </w:r>
      </w:hyperlink>
      <w:r>
        <w:rPr>
          <w:sz w:val="19"/>
        </w:rPr>
        <w:t xml:space="preserve"> — Free edition, supported builds and beta status.</w:t>
      </w:r>
    </w:p>
    <w:p>
      <w:pPr>
        <w:spacing w:after="80"/>
      </w:pPr>
      <w:r>
        <w:rPr>
          <w:sz w:val="19"/>
        </w:rPr>
        <w:t xml:space="preserve">[40] </w:t>
      </w:r>
      <w:hyperlink r:id="rId49">
        <w:r>
          <w:rPr>
            <w:color w:val="245477"/>
            <w:sz w:val="19"/>
          </w:rPr>
          <w:t>Poly Hammer Character DNA getting started</w:t>
        </w:r>
      </w:hyperlink>
      <w:r>
        <w:rPr>
          <w:sz w:val="19"/>
        </w:rPr>
        <w:t xml:space="preserve"> — DNA import and texture linking.</w:t>
      </w:r>
    </w:p>
    <w:p>
      <w:pPr>
        <w:spacing w:after="80"/>
      </w:pPr>
      <w:r>
        <w:rPr>
          <w:sz w:val="19"/>
        </w:rPr>
        <w:t xml:space="preserve">[41] </w:t>
      </w:r>
      <w:hyperlink r:id="rId50">
        <w:r>
          <w:rPr>
            <w:color w:val="245477"/>
            <w:sz w:val="19"/>
          </w:rPr>
          <w:t>Poly Hammer Character Assembly requirements</w:t>
        </w:r>
      </w:hyperlink>
      <w:r>
        <w:rPr>
          <w:sz w:val="19"/>
        </w:rPr>
        <w:t xml:space="preserve"> — Blender 5.2 and Unreal 5.8 export workflow.</w:t>
      </w:r>
    </w:p>
    <w:p>
      <w:pPr>
        <w:spacing w:after="80"/>
      </w:pPr>
      <w:r>
        <w:rPr>
          <w:sz w:val="19"/>
        </w:rPr>
        <w:t xml:space="preserve">[42] </w:t>
      </w:r>
      <w:hyperlink r:id="rId51">
        <w:r>
          <w:rPr>
            <w:color w:val="245477"/>
            <w:sz w:val="19"/>
          </w:rPr>
          <w:t>Poly Hammer Character Assembly features</w:t>
        </w:r>
      </w:hyperlink>
      <w:r>
        <w:rPr>
          <w:sz w:val="19"/>
        </w:rPr>
        <w:t xml:space="preserve"> — Vendor-described materials, wrinkles and native curve grooms.</w:t>
      </w:r>
    </w:p>
    <w:p>
      <w:pPr>
        <w:spacing w:after="80"/>
      </w:pPr>
      <w:r>
        <w:rPr>
          <w:sz w:val="19"/>
        </w:rPr>
        <w:t xml:space="preserve">[43] </w:t>
      </w:r>
      <w:hyperlink r:id="rId52">
        <w:r>
          <w:rPr>
            <w:color w:val="245477"/>
            <w:sz w:val="19"/>
          </w:rPr>
          <w:t>Reallusion Character Creator HD base</w:t>
        </w:r>
      </w:hyperlink>
      <w:r>
        <w:rPr>
          <w:sz w:val="19"/>
        </w:rPr>
        <w:t xml:space="preserve"> — HD subdivision, maps and expression detail.</w:t>
      </w:r>
    </w:p>
    <w:p>
      <w:pPr>
        <w:spacing w:after="80"/>
      </w:pPr>
      <w:r>
        <w:rPr>
          <w:sz w:val="19"/>
        </w:rPr>
        <w:t xml:space="preserve">[44] </w:t>
      </w:r>
      <w:hyperlink r:id="rId53">
        <w:r>
          <w:rPr>
            <w:color w:val="245477"/>
            <w:sz w:val="19"/>
          </w:rPr>
          <w:t>Reallusion Blender Auto Setup</w:t>
        </w:r>
      </w:hyperlink>
      <w:r>
        <w:rPr>
          <w:sz w:val="19"/>
        </w:rPr>
        <w:t xml:space="preserve"> — Free Blender integration.</w:t>
      </w:r>
    </w:p>
    <w:p>
      <w:pPr>
        <w:spacing w:after="80"/>
      </w:pPr>
      <w:r>
        <w:rPr>
          <w:sz w:val="19"/>
        </w:rPr>
        <w:t xml:space="preserve">[45] </w:t>
      </w:r>
      <w:hyperlink r:id="rId54">
        <w:r>
          <w:rPr>
            <w:color w:val="245477"/>
            <w:sz w:val="19"/>
          </w:rPr>
          <w:t>CC Blender Tools maintainer repository</w:t>
        </w:r>
      </w:hyperlink>
      <w:r>
        <w:rPr>
          <w:sz w:val="19"/>
        </w:rPr>
        <w:t xml:space="preserve"> — Shader and CC5 support changelog.</w:t>
      </w:r>
    </w:p>
    <w:p>
      <w:pPr>
        <w:spacing w:after="80"/>
      </w:pPr>
      <w:r>
        <w:rPr>
          <w:sz w:val="19"/>
        </w:rPr>
        <w:t xml:space="preserve">[46] </w:t>
      </w:r>
      <w:hyperlink r:id="rId55">
        <w:r>
          <w:rPr>
            <w:color w:val="245477"/>
            <w:sz w:val="19"/>
          </w:rPr>
          <w:t>Universal Human skin shader documentation</w:t>
        </w:r>
      </w:hyperlink>
      <w:r>
        <w:rPr>
          <w:sz w:val="19"/>
        </w:rPr>
        <w:t xml:space="preserve"> — Modular content, wrinkles and subsurface-control meaning.</w:t>
      </w:r>
    </w:p>
    <w:p>
      <w:pPr>
        <w:spacing w:after="80"/>
      </w:pPr>
      <w:r>
        <w:rPr>
          <w:sz w:val="19"/>
        </w:rPr>
        <w:t xml:space="preserve">[47] </w:t>
      </w:r>
      <w:hyperlink r:id="rId56">
        <w:r>
          <w:rPr>
            <w:color w:val="245477"/>
            <w:sz w:val="19"/>
          </w:rPr>
          <w:t>Blender Studio Einar</w:t>
        </w:r>
      </w:hyperlink>
      <w:r>
        <w:rPr>
          <w:sz w:val="19"/>
        </w:rPr>
        <w:t xml:space="preserve"> — CC-BY production character; stated minimum Blender 3.5.</w:t>
      </w:r>
    </w:p>
    <w:p>
      <w:pPr>
        <w:spacing w:after="80"/>
      </w:pPr>
      <w:r>
        <w:rPr>
          <w:sz w:val="19"/>
        </w:rPr>
        <w:t xml:space="preserve">[48] </w:t>
      </w:r>
      <w:hyperlink r:id="rId57">
        <w:r>
          <w:rPr>
            <w:color w:val="245477"/>
            <w:sz w:val="19"/>
          </w:rPr>
          <w:t>Blender 5.2 Cycles release notes</w:t>
        </w:r>
      </w:hyperlink>
      <w:r>
        <w:rPr>
          <w:sz w:val="19"/>
        </w:rPr>
        <w:t xml:space="preserve"> — Random Walk migration and texture cache.</w:t>
      </w:r>
    </w:p>
    <w:p>
      <w:pPr>
        <w:spacing w:after="80"/>
      </w:pPr>
      <w:r>
        <w:rPr>
          <w:sz w:val="19"/>
        </w:rPr>
        <w:t xml:space="preserve">[49] </w:t>
      </w:r>
      <w:hyperlink r:id="rId58">
        <w:r>
          <w:rPr>
            <w:color w:val="245477"/>
            <w:sz w:val="19"/>
          </w:rPr>
          <w:t>Blender 5.0 Cycles release notes</w:t>
        </w:r>
      </w:hyperlink>
      <w:r>
        <w:rPr>
          <w:sz w:val="19"/>
        </w:rPr>
        <w:t xml:space="preserve"> — Production adaptive subdivision and displacement changes.</w:t>
      </w:r>
    </w:p>
    <w:p>
      <w:pPr>
        <w:spacing w:after="80"/>
      </w:pPr>
      <w:r>
        <w:rPr>
          <w:sz w:val="19"/>
        </w:rPr>
        <w:t xml:space="preserve">[50] </w:t>
      </w:r>
      <w:hyperlink r:id="rId59">
        <w:r>
          <w:rPr>
            <w:color w:val="245477"/>
            <w:sz w:val="19"/>
          </w:rPr>
          <w:t>Blender Material API</w:t>
        </w:r>
      </w:hyperlink>
      <w:r>
        <w:rPr>
          <w:sz w:val="19"/>
        </w:rPr>
        <w:t xml:space="preserve"> — Identified as 5.2 when checked; BUMP, DISPLACEMENT and BOTH.</w:t>
      </w:r>
    </w:p>
    <w:p>
      <w:pPr>
        <w:spacing w:after="80"/>
      </w:pPr>
      <w:r>
        <w:rPr>
          <w:sz w:val="19"/>
        </w:rPr>
        <w:t xml:space="preserve">[51] </w:t>
      </w:r>
      <w:hyperlink r:id="rId60">
        <w:r>
          <w:rPr>
            <w:color w:val="245477"/>
            <w:sz w:val="19"/>
          </w:rPr>
          <w:t>Blender 5.2 Python API release notes</w:t>
        </w:r>
      </w:hyperlink>
      <w:r>
        <w:rPr>
          <w:sz w:val="19"/>
        </w:rPr>
        <w:t xml:space="preserve"> — Geometry Nodes input migration and socket changes.</w:t>
      </w:r>
    </w:p>
    <w:p>
      <w:pPr>
        <w:spacing w:after="80"/>
      </w:pPr>
      <w:r>
        <w:rPr>
          <w:sz w:val="19"/>
        </w:rPr>
        <w:t xml:space="preserve">[52] </w:t>
      </w:r>
      <w:hyperlink r:id="rId61">
        <w:r>
          <w:rPr>
            <w:color w:val="245477"/>
            <w:sz w:val="19"/>
          </w:rPr>
          <w:t>Blender Subdivision Surface modifier API</w:t>
        </w:r>
      </w:hyperlink>
      <w:r>
        <w:rPr>
          <w:sz w:val="19"/>
        </w:rPr>
        <w:t xml:space="preserve"> — use_adaptive_subdivision and adaptive resolution controls.</w:t>
      </w:r>
    </w:p>
    <w:p>
      <w:pPr>
        <w:spacing w:after="80"/>
      </w:pPr>
      <w:r>
        <w:rPr>
          <w:sz w:val="19"/>
        </w:rPr>
        <w:t xml:space="preserve">[53] </w:t>
      </w:r>
      <w:hyperlink r:id="rId62">
        <w:r>
          <w:rPr>
            <w:color w:val="245477"/>
            <w:sz w:val="19"/>
          </w:rPr>
          <w:t>Human Generator custom hair</w:t>
        </w:r>
      </w:hyperlink>
      <w:r>
        <w:rPr>
          <w:sz w:val="19"/>
        </w:rPr>
        <w:t xml:space="preserve"> — Documented particle-hair workflow and hair-node limitation.</w:t>
      </w:r>
    </w:p>
    <w:p>
      <w:pPr>
        <w:spacing w:after="80"/>
      </w:pPr>
      <w:r>
        <w:rPr>
          <w:sz w:val="19"/>
        </w:rPr>
        <w:t xml:space="preserve">[54] </w:t>
      </w:r>
      <w:hyperlink r:id="rId63">
        <w:r>
          <w:rPr>
            <w:color w:val="245477"/>
            <w:sz w:val="19"/>
          </w:rPr>
          <w:t>Blender Manual Cycles object settings</w:t>
        </w:r>
      </w:hyperlink>
      <w:r>
        <w:rPr>
          <w:sz w:val="19"/>
        </w:rPr>
        <w:t xml:space="preserve"> — Shadow caustics and the eye example.</w:t>
      </w:r>
    </w:p>
    <w:p>
      <w:pPr>
        <w:spacing w:after="80"/>
      </w:pPr>
      <w:r>
        <w:rPr>
          <w:sz w:val="19"/>
        </w:rPr>
        <w:t xml:space="preserve">[55] </w:t>
      </w:r>
      <w:hyperlink r:id="rId64">
        <w:r>
          <w:rPr>
            <w:color w:val="245477"/>
            <w:sz w:val="19"/>
          </w:rPr>
          <w:t>BlenderGym paper</w:t>
        </w:r>
      </w:hyperlink>
      <w:r>
        <w:rPr>
          <w:sz w:val="19"/>
        </w:rPr>
        <w:t xml:space="preserve"> — 245 graphics-editing tasks and model failure analysis.</w:t>
      </w:r>
    </w:p>
    <w:p>
      <w:pPr>
        <w:spacing w:after="80"/>
      </w:pPr>
      <w:r>
        <w:rPr>
          <w:sz w:val="19"/>
        </w:rPr>
        <w:t xml:space="preserve">[56] </w:t>
      </w:r>
      <w:hyperlink r:id="rId65">
        <w:r>
          <w:rPr>
            <w:color w:val="245477"/>
            <w:sz w:val="19"/>
          </w:rPr>
          <w:t>VIGA paper</w:t>
        </w:r>
      </w:hyperlink>
      <w:r>
        <w:rPr>
          <w:sz w:val="19"/>
        </w:rPr>
        <w:t xml:space="preserve"> — Iterative graphics generation with evolving memory.</w:t>
      </w:r>
    </w:p>
    <w:p>
      <w:pPr>
        <w:spacing w:after="80"/>
      </w:pPr>
      <w:r>
        <w:rPr>
          <w:sz w:val="19"/>
        </w:rPr>
        <w:t xml:space="preserve">[57] </w:t>
      </w:r>
      <w:hyperlink r:id="rId66">
        <w:r>
          <w:rPr>
            <w:color w:val="245477"/>
            <w:sz w:val="19"/>
          </w:rPr>
          <w:t>Code-as-Room paper</w:t>
        </w:r>
      </w:hyperlink>
      <w:r>
        <w:rPr>
          <w:sz w:val="19"/>
        </w:rPr>
        <w:t xml:space="preserve"> — Task-specific iteration ablation; not a portrait benchmark.</w:t>
      </w:r>
    </w:p>
    <w:p>
      <w:pPr>
        <w:spacing w:after="80"/>
      </w:pPr>
      <w:r>
        <w:rPr>
          <w:sz w:val="19"/>
        </w:rPr>
        <w:t xml:space="preserve">[58] </w:t>
      </w:r>
      <w:hyperlink r:id="rId67">
        <w:r>
          <w:rPr>
            <w:color w:val="245477"/>
            <w:sz w:val="19"/>
          </w:rPr>
          <w:t>MacDorman and colleagues Too real for comfort</w:t>
        </w:r>
      </w:hyperlink>
      <w:r>
        <w:rPr>
          <w:sz w:val="19"/>
        </w:rPr>
        <w:t xml:space="preserve"> — Still-image studies of proportions and realism mismatch.</w:t>
      </w:r>
    </w:p>
    <w:p>
      <w:pPr>
        <w:spacing w:after="80"/>
      </w:pPr>
      <w:r>
        <w:rPr>
          <w:sz w:val="19"/>
        </w:rPr>
        <w:t xml:space="preserve">[59] </w:t>
      </w:r>
      <w:hyperlink r:id="rId68">
        <w:r>
          <w:rPr>
            <w:color w:val="245477"/>
            <w:sz w:val="19"/>
          </w:rPr>
          <w:t>MPFB Enhanced skin documentation</w:t>
        </w:r>
      </w:hyperlink>
      <w:r>
        <w:rPr>
          <w:sz w:val="19"/>
        </w:rPr>
        <w:t xml:space="preserve"> — Historical shader and its scattering-radius multiplier.</w:t>
      </w:r>
    </w:p>
    <w:p>
      <w:pPr>
        <w:spacing w:after="80"/>
      </w:pPr>
      <w:r>
        <w:rPr>
          <w:sz w:val="19"/>
        </w:rPr>
        <w:t xml:space="preserve">[60] </w:t>
      </w:r>
      <w:hyperlink r:id="rId69">
        <w:r>
          <w:rPr>
            <w:color w:val="245477"/>
            <w:sz w:val="19"/>
          </w:rPr>
          <w:t>MPFB basemesh and helpers</w:t>
        </w:r>
      </w:hyperlink>
      <w:r>
        <w:rPr>
          <w:sz w:val="19"/>
        </w:rPr>
        <w:t xml:space="preserve"> — History and role of the shared base mesh.</w:t>
      </w:r>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atic.makehumancommunity.org/mpfb/faq/skin_flat.html" TargetMode="External"/><Relationship Id="rId11" Type="http://schemas.openxmlformats.org/officeDocument/2006/relationships/hyperlink" Target="https://static.makehumancommunity.org/about/license.html" TargetMode="External"/><Relationship Id="rId12" Type="http://schemas.openxmlformats.org/officeDocument/2006/relationships/hyperlink" Target="https://help.humgen3d.com/API/Overview" TargetMode="External"/><Relationship Id="rId13" Type="http://schemas.openxmlformats.org/officeDocument/2006/relationships/hyperlink" Target="https://help.humgen3d.com/Guide/Skin" TargetMode="External"/><Relationship Id="rId14" Type="http://schemas.openxmlformats.org/officeDocument/2006/relationships/hyperlink" Target="https://help.humgen3d.com/license" TargetMode="External"/><Relationship Id="rId15" Type="http://schemas.openxmlformats.org/officeDocument/2006/relationships/hyperlink" Target="https://www.3dscanstore.com/retopologised-body-models/animation-ready-body-scans/animation-ready-body-scan-female-27" TargetMode="External"/><Relationship Id="rId16" Type="http://schemas.openxmlformats.org/officeDocument/2006/relationships/hyperlink" Target="https://www.3dscanstore.com/terms-and-conditions-licensing" TargetMode="External"/><Relationship Id="rId17" Type="http://schemas.openxmlformats.org/officeDocument/2006/relationships/hyperlink" Target="https://www.blender.org/download/demo-files/" TargetMode="External"/><Relationship Id="rId18" Type="http://schemas.openxmlformats.org/officeDocument/2006/relationships/hyperlink" Target="https://studio.blender.org/training/realistic-human-research/use-of-base-meshes/" TargetMode="External"/><Relationship Id="rId19" Type="http://schemas.openxmlformats.org/officeDocument/2006/relationships/hyperlink" Target="https://studio.blender.org/training/realistic-human-research/design-sculpting/" TargetMode="External"/><Relationship Id="rId20" Type="http://schemas.openxmlformats.org/officeDocument/2006/relationships/hyperlink" Target="https://studio.blender.org/training/realistic-human-research/retopology/" TargetMode="External"/><Relationship Id="rId21" Type="http://schemas.openxmlformats.org/officeDocument/2006/relationships/hyperlink" Target="https://docs.blender.org/manual/en/4.4/modeling/modifiers/generate/multiresolution.html" TargetMode="External"/><Relationship Id="rId22" Type="http://schemas.openxmlformats.org/officeDocument/2006/relationships/hyperlink" Target="https://studio.blender.org/blog/layered-sculpting-for-einar/" TargetMode="External"/><Relationship Id="rId23" Type="http://schemas.openxmlformats.org/officeDocument/2006/relationships/hyperlink" Target="https://studio.blender.org/training/realistic-human-research/workflow/" TargetMode="External"/><Relationship Id="rId24" Type="http://schemas.openxmlformats.org/officeDocument/2006/relationships/hyperlink" Target="https://docs.blender.org/manual/en/5.2/render/shader_nodes/shader/principled.html" TargetMode="External"/><Relationship Id="rId25" Type="http://schemas.openxmlformats.org/officeDocument/2006/relationships/hyperlink" Target="https://docs.blender.org/manual/en/4.5/render/shader_nodes/vector/normal_map.html" TargetMode="External"/><Relationship Id="rId26" Type="http://schemas.openxmlformats.org/officeDocument/2006/relationships/hyperlink" Target="https://docs.blender.org/manual/en/4.5/render/cycles/material_settings.html" TargetMode="External"/><Relationship Id="rId27" Type="http://schemas.openxmlformats.org/officeDocument/2006/relationships/hyperlink" Target="https://docs.blender.org/manual/en/4.5/render/color_management.html" TargetMode="External"/><Relationship Id="rId28" Type="http://schemas.openxmlformats.org/officeDocument/2006/relationships/hyperlink" Target="https://docs.blender.org/manual/en/4.4/render/materials/components/displacement.html" TargetMode="External"/><Relationship Id="rId29" Type="http://schemas.openxmlformats.org/officeDocument/2006/relationships/hyperlink" Target="https://texturing.xyz/pages/vface-multi-channel-displacement" TargetMode="External"/><Relationship Id="rId30" Type="http://schemas.openxmlformats.org/officeDocument/2006/relationships/hyperlink" Target="https://docs.blender.org/manual/en/4.5/scene_layout/scene/properties.html" TargetMode="External"/><Relationship Id="rId31" Type="http://schemas.openxmlformats.org/officeDocument/2006/relationships/hyperlink" Target="https://developer.blender.org/docs/release_notes/4.0/shading/" TargetMode="External"/><Relationship Id="rId32" Type="http://schemas.openxmlformats.org/officeDocument/2006/relationships/hyperlink" Target="https://www.cgcookie.com/courses/human-realistic-portrait-creation-with-blender?playlist=di57ox" TargetMode="External"/><Relationship Id="rId33" Type="http://schemas.openxmlformats.org/officeDocument/2006/relationships/hyperlink" Target="https://docs.blender.org/manual/en/5.1/modeling/geometry_nodes/hair/generation/interpolate_hair_curves.html" TargetMode="External"/><Relationship Id="rId34" Type="http://schemas.openxmlformats.org/officeDocument/2006/relationships/hyperlink" Target="https://docs.blender.org/manual/en/5.2/render/shader_nodes/shader/hair_principled.html" TargetMode="External"/><Relationship Id="rId35" Type="http://schemas.openxmlformats.org/officeDocument/2006/relationships/hyperlink" Target="https://developer.blender.org/docs/release_notes/4.2/cycles/" TargetMode="External"/><Relationship Id="rId36" Type="http://schemas.openxmlformats.org/officeDocument/2006/relationships/hyperlink" Target="https://docs.blender.org/manual/en/5.1/modeling/geometry_nodes/curve/operations/deform_curves_on_surface.html" TargetMode="External"/><Relationship Id="rId37" Type="http://schemas.openxmlformats.org/officeDocument/2006/relationships/hyperlink" Target="https://studio.blender.org/training/realistic-human-research/clothing-shapes/" TargetMode="External"/><Relationship Id="rId38" Type="http://schemas.openxmlformats.org/officeDocument/2006/relationships/hyperlink" Target="https://docs.blender.org/manual/en/latest/physics/cloth/settings/cache.html" TargetMode="External"/><Relationship Id="rId39" Type="http://schemas.openxmlformats.org/officeDocument/2006/relationships/hyperlink" Target="https://studio.blender.org/training/realistic-human-research/the-shapes-approach/" TargetMode="External"/><Relationship Id="rId40" Type="http://schemas.openxmlformats.org/officeDocument/2006/relationships/hyperlink" Target="https://docs.blender.org/manual/en/5.2/render/cameras.html" TargetMode="External"/><Relationship Id="rId41" Type="http://schemas.openxmlformats.org/officeDocument/2006/relationships/hyperlink" Target="https://docs.blender.org/manual/en/5.2/render/color_management/displays_views.html" TargetMode="External"/><Relationship Id="rId42" Type="http://schemas.openxmlformats.org/officeDocument/2006/relationships/hyperlink" Target="https://docs.blender.org/manual/en/5.2/render/cycles/render_settings/sampling.html" TargetMode="External"/><Relationship Id="rId43" Type="http://schemas.openxmlformats.org/officeDocument/2006/relationships/hyperlink" Target="https://studio.blender.org/training/realistic-human-research/automation/" TargetMode="External"/><Relationship Id="rId44" Type="http://schemas.openxmlformats.org/officeDocument/2006/relationships/hyperlink" Target="https://github.com/makehumancommunity/mpfb2/blob/master/docs/services/humanservice.md" TargetMode="External"/><Relationship Id="rId45" Type="http://schemas.openxmlformats.org/officeDocument/2006/relationships/hyperlink" Target="https://blog.cgcookie.com/posts/making-a-photorealistic-3d-portrait/" TargetMode="External"/><Relationship Id="rId46" Type="http://schemas.openxmlformats.org/officeDocument/2006/relationships/hyperlink" Target="https://static.makehumancommunity.org/mpfb/docs/materials.html" TargetMode="External"/><Relationship Id="rId47" Type="http://schemas.openxmlformats.org/officeDocument/2006/relationships/hyperlink" Target="https://www.metahuman.com/license" TargetMode="External"/><Relationship Id="rId48" Type="http://schemas.openxmlformats.org/officeDocument/2006/relationships/hyperlink" Target="https://github.com/poly-hammer/character-dna-addon" TargetMode="External"/><Relationship Id="rId49" Type="http://schemas.openxmlformats.org/officeDocument/2006/relationships/hyperlink" Target="https://docs.polyhammer.com/character-dna-addon/" TargetMode="External"/><Relationship Id="rId50" Type="http://schemas.openxmlformats.org/officeDocument/2006/relationships/hyperlink" Target="https://docs.polyhammer.com/character-assembly-addon/" TargetMode="External"/><Relationship Id="rId51" Type="http://schemas.openxmlformats.org/officeDocument/2006/relationships/hyperlink" Target="https://www.polyhammer.com/character-assembly-addon" TargetMode="External"/><Relationship Id="rId52" Type="http://schemas.openxmlformats.org/officeDocument/2006/relationships/hyperlink" Target="https://www.reallusion.com/character-creator/hd-character-base.html" TargetMode="External"/><Relationship Id="rId53" Type="http://schemas.openxmlformats.org/officeDocument/2006/relationships/hyperlink" Target="https://www.reallusion.com/auto-setup/blender/" TargetMode="External"/><Relationship Id="rId54" Type="http://schemas.openxmlformats.org/officeDocument/2006/relationships/hyperlink" Target="https://github.com/soupday/cc_blender_tools" TargetMode="External"/><Relationship Id="rId55" Type="http://schemas.openxmlformats.org/officeDocument/2006/relationships/hyperlink" Target="https://sites.google.com/view/universalhuman/documentation/skin-shader-docs" TargetMode="External"/><Relationship Id="rId56" Type="http://schemas.openxmlformats.org/officeDocument/2006/relationships/hyperlink" Target="https://studio.blender.org/characters/einar/v1/" TargetMode="External"/><Relationship Id="rId57" Type="http://schemas.openxmlformats.org/officeDocument/2006/relationships/hyperlink" Target="https://developer.blender.org/docs/release_notes/5.2/cycles/" TargetMode="External"/><Relationship Id="rId58" Type="http://schemas.openxmlformats.org/officeDocument/2006/relationships/hyperlink" Target="https://developer.blender.org/docs/release_notes/5.0/cycles/" TargetMode="External"/><Relationship Id="rId59" Type="http://schemas.openxmlformats.org/officeDocument/2006/relationships/hyperlink" Target="https://docs.staging.blender.org/api/current/bpy.types.Material.html" TargetMode="External"/><Relationship Id="rId60" Type="http://schemas.openxmlformats.org/officeDocument/2006/relationships/hyperlink" Target="https://developer.blender.org/docs/release_notes/5.2/python_api/" TargetMode="External"/><Relationship Id="rId61" Type="http://schemas.openxmlformats.org/officeDocument/2006/relationships/hyperlink" Target="https://docs.blender.org/api/5.0/bpy.types.SubsurfModifier.html" TargetMode="External"/><Relationship Id="rId62" Type="http://schemas.openxmlformats.org/officeDocument/2006/relationships/hyperlink" Target="https://help.humgen3d.com/customhair" TargetMode="External"/><Relationship Id="rId63" Type="http://schemas.openxmlformats.org/officeDocument/2006/relationships/hyperlink" Target="https://docs.blender.org/manual/en/5.2/render/cycles/object_settings/object_data.html" TargetMode="External"/><Relationship Id="rId64" Type="http://schemas.openxmlformats.org/officeDocument/2006/relationships/hyperlink" Target="https://arxiv.org/html/2504.01786v1" TargetMode="External"/><Relationship Id="rId65" Type="http://schemas.openxmlformats.org/officeDocument/2006/relationships/hyperlink" Target="https://arxiv.org/html/2601.11109v2" TargetMode="External"/><Relationship Id="rId66" Type="http://schemas.openxmlformats.org/officeDocument/2006/relationships/hyperlink" Target="https://arxiv.org/html/2605.18451v1" TargetMode="External"/><Relationship Id="rId67" Type="http://schemas.openxmlformats.org/officeDocument/2006/relationships/hyperlink" Target="https://pubmed.ncbi.nlm.nih.gov/25506126/" TargetMode="External"/><Relationship Id="rId68" Type="http://schemas.openxmlformats.org/officeDocument/2006/relationships/hyperlink" Target="https://static.makehumancommunity.org/mpfb/docs/materials/skinv1.html" TargetMode="External"/><Relationship Id="rId69" Type="http://schemas.openxmlformats.org/officeDocument/2006/relationships/hyperlink" Target="https://static.makehumancommunity.org/mpfb/docs/assets/concept_basemesh_and_help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Realistic Humans in Blender</dc:title>
  <dc:subject>Research and production workflow for an LLM agent</dc:subject>
  <dc:creator>OpenAI</dc:creator>
  <cp:keywords>Blender, realistic humans, Cycles, skin, hair, LLM agent</cp:keywords>
  <dc:description>generated by python-docx</dc:description>
  <cp:lastModifiedBy/>
  <cp:revision>1</cp:revision>
  <dcterms:created xsi:type="dcterms:W3CDTF">2013-12-23T23:15:00Z</dcterms:created>
  <dcterms:modified xsi:type="dcterms:W3CDTF">2013-12-23T23:15:00Z</dcterms:modified>
  <cp:category/>
</cp:coreProperties>
</file>