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CA15" w14:textId="1FF0F977" w:rsidR="00C730BF" w:rsidRPr="00C730BF" w:rsidRDefault="00C730BF" w:rsidP="00C730BF">
      <w:r w:rsidRPr="00C730BF">
        <w:rPr>
          <w:b/>
          <w:bCs/>
        </w:rPr>
        <w:t>A</w:t>
      </w:r>
      <w:r w:rsidRPr="00C730BF">
        <w:t xml:space="preserve"> </w:t>
      </w:r>
      <w:r w:rsidRPr="00C730BF">
        <w:rPr>
          <w:b/>
          <w:bCs/>
        </w:rPr>
        <w:t>finalized, polished version</w:t>
      </w:r>
      <w:r w:rsidRPr="00C730BF">
        <w:t xml:space="preserve"> of </w:t>
      </w:r>
      <w:r w:rsidRPr="00C730BF">
        <w:rPr>
          <w:b/>
          <w:bCs/>
        </w:rPr>
        <w:t xml:space="preserve">“Key Design Considerations for </w:t>
      </w:r>
      <w:r>
        <w:rPr>
          <w:b/>
          <w:bCs/>
        </w:rPr>
        <w:t xml:space="preserve">(OIC) </w:t>
      </w:r>
      <w:r w:rsidRPr="00C730BF">
        <w:rPr>
          <w:b/>
          <w:bCs/>
        </w:rPr>
        <w:t>ATP Database Custom Implementation”</w:t>
      </w:r>
      <w:r w:rsidRPr="00C730BF">
        <w:t>, revised to incorporate the technical reassessment and aligned to the issues documented in your assessment.</w:t>
      </w:r>
    </w:p>
    <w:p w14:paraId="4383891B" w14:textId="77777777" w:rsidR="00C730BF" w:rsidRPr="00C730BF" w:rsidRDefault="00C730BF" w:rsidP="00C730BF">
      <w:r w:rsidRPr="00C730BF">
        <w:pict w14:anchorId="6D56CA90">
          <v:rect id="_x0000_i1145" style="width:0;height:1.5pt" o:hralign="center" o:hrstd="t" o:hr="t" fillcolor="#a0a0a0" stroked="f"/>
        </w:pict>
      </w:r>
    </w:p>
    <w:p w14:paraId="282FA5DB" w14:textId="77777777" w:rsidR="00C730BF" w:rsidRPr="00C730BF" w:rsidRDefault="00C730BF" w:rsidP="00C730BF">
      <w:pPr>
        <w:rPr>
          <w:b/>
          <w:bCs/>
        </w:rPr>
      </w:pPr>
      <w:r w:rsidRPr="00C730BF">
        <w:rPr>
          <w:b/>
          <w:bCs/>
        </w:rPr>
        <w:t>Key Design Considerations for ATP Database Custom Implementation</w:t>
      </w:r>
    </w:p>
    <w:p w14:paraId="46FA7C41" w14:textId="77777777" w:rsidR="00C730BF" w:rsidRPr="00C730BF" w:rsidRDefault="00C730BF" w:rsidP="00C730BF">
      <w:pPr>
        <w:rPr>
          <w:b/>
          <w:bCs/>
        </w:rPr>
      </w:pPr>
      <w:r w:rsidRPr="00C730BF">
        <w:rPr>
          <w:b/>
          <w:bCs/>
        </w:rPr>
        <w:t>Introduction</w:t>
      </w:r>
    </w:p>
    <w:p w14:paraId="127D9E36" w14:textId="77777777" w:rsidR="00C730BF" w:rsidRPr="00C730BF" w:rsidRDefault="00C730BF" w:rsidP="00C730BF">
      <w:r w:rsidRPr="00C730BF">
        <w:t xml:space="preserve">The ATP custom database layer in this implementation must be designed as a </w:t>
      </w:r>
      <w:r w:rsidRPr="00C730BF">
        <w:rPr>
          <w:b/>
          <w:bCs/>
        </w:rPr>
        <w:t>core integration control platform</w:t>
      </w:r>
      <w:r w:rsidRPr="00C730BF">
        <w:t>, not merely as a transient staging repository. The assessment shows that ATP is responsible not only for holding inbound and transformed data, but also for enforcing traceability, supporting recovery, maintaining reconciliation state, capturing integration control identifiers, and enabling production support to diagnose failures across OIC, ATP, and Oracle Fusion import processing.</w:t>
      </w:r>
    </w:p>
    <w:p w14:paraId="782B33DD" w14:textId="77777777" w:rsidR="00C730BF" w:rsidRPr="00C730BF" w:rsidRDefault="00C730BF" w:rsidP="00C730BF">
      <w:r w:rsidRPr="00C730BF">
        <w:t xml:space="preserve">For solution specialists and developers, this means the ATP custom schema, PL/SQL packages, and supporting physical design must be treated as a </w:t>
      </w:r>
      <w:r w:rsidRPr="00C730BF">
        <w:rPr>
          <w:b/>
          <w:bCs/>
        </w:rPr>
        <w:t>single architectural control surface</w:t>
      </w:r>
      <w:r w:rsidRPr="00C730BF">
        <w:t>. Weaknesses in data typing, key design, status governance, indexing, transaction control, and traceability do not remain isolated to the database layer; they directly affect OIC reliability, replay safety, Oracle Fusion import correctness, and production supportability.</w:t>
      </w:r>
    </w:p>
    <w:p w14:paraId="2C71929B" w14:textId="77777777" w:rsidR="00C730BF" w:rsidRPr="00C730BF" w:rsidRDefault="00C730BF" w:rsidP="00C730BF">
      <w:r w:rsidRPr="00C730BF">
        <w:t>The key design considerations below reflect the practical and technical lessons established by this assessment.</w:t>
      </w:r>
    </w:p>
    <w:p w14:paraId="1C121EC0" w14:textId="77777777" w:rsidR="00C730BF" w:rsidRPr="00C730BF" w:rsidRDefault="00C730BF" w:rsidP="00C730BF">
      <w:r w:rsidRPr="00C730BF">
        <w:pict w14:anchorId="35A5EB80">
          <v:rect id="_x0000_i1146" style="width:0;height:1.5pt" o:hralign="center" o:hrstd="t" o:hr="t" fillcolor="#a0a0a0" stroked="f"/>
        </w:pict>
      </w:r>
    </w:p>
    <w:p w14:paraId="7E326870" w14:textId="77777777" w:rsidR="00C730BF" w:rsidRPr="00C730BF" w:rsidRDefault="00C730BF" w:rsidP="00C730BF">
      <w:pPr>
        <w:rPr>
          <w:b/>
          <w:bCs/>
        </w:rPr>
      </w:pPr>
      <w:r w:rsidRPr="00C730BF">
        <w:rPr>
          <w:b/>
          <w:bCs/>
        </w:rPr>
        <w:t>1. Design ATP as the integration control plane, not just a staging layer</w:t>
      </w:r>
    </w:p>
    <w:p w14:paraId="6EDD95D5" w14:textId="77777777" w:rsidR="00C730BF" w:rsidRPr="00C730BF" w:rsidRDefault="00C730BF" w:rsidP="00C730BF">
      <w:r w:rsidRPr="00C730BF">
        <w:t>ATP in this solution is functioning as more than a landing zone for source extracts. It is acting as the control boundary between source ERP data, OIC orchestration, Oracle Fusion FBDI/interface loading, and downstream reconciliation. The database therefore must explicitly support the full integration lifecycle, including batch control, state progression, retry tracking, import request correlation, and support diagnostics.</w:t>
      </w:r>
    </w:p>
    <w:p w14:paraId="45CA040A" w14:textId="77777777" w:rsidR="00C730BF" w:rsidRPr="00C730BF" w:rsidRDefault="00C730BF" w:rsidP="00C730BF">
      <w:r w:rsidRPr="00C730BF">
        <w:t>The assessment demonstrates that where ATP tables do not clearly distinguish lifecycle purpose, support analysts must rely on OIC implementation knowledge to determine whether a table represents source-state, transformed staging, or post-import confirmation. That is an architectural weakness. The schema itself should make the lifecycle role of each major table explicit.</w:t>
      </w:r>
    </w:p>
    <w:p w14:paraId="7209D09E" w14:textId="77777777" w:rsidR="00C730BF" w:rsidRPr="00C730BF" w:rsidRDefault="00C730BF" w:rsidP="00C730BF">
      <w:r w:rsidRPr="00C730BF">
        <w:lastRenderedPageBreak/>
        <w:t>From a design standpoint, every major ATP table should make it clear whether it represents raw source intake, normalized staging, interface submission, Oracle response capture, or historical snapshot reporting. When that distinction is hidden in package logic or naming conventions alone, the database layer is no longer self-describing.</w:t>
      </w:r>
    </w:p>
    <w:p w14:paraId="7D952732" w14:textId="77777777" w:rsidR="00C730BF" w:rsidRPr="00C730BF" w:rsidRDefault="00C730BF" w:rsidP="00C730BF">
      <w:r w:rsidRPr="00C730BF">
        <w:pict w14:anchorId="39486AA3">
          <v:rect id="_x0000_i1147" style="width:0;height:1.5pt" o:hralign="center" o:hrstd="t" o:hr="t" fillcolor="#a0a0a0" stroked="f"/>
        </w:pict>
      </w:r>
    </w:p>
    <w:p w14:paraId="5E0D9549" w14:textId="77777777" w:rsidR="00C730BF" w:rsidRPr="00C730BF" w:rsidRDefault="00C730BF" w:rsidP="00C730BF">
      <w:pPr>
        <w:rPr>
          <w:b/>
          <w:bCs/>
        </w:rPr>
      </w:pPr>
      <w:r w:rsidRPr="00C730BF">
        <w:rPr>
          <w:b/>
          <w:bCs/>
        </w:rPr>
        <w:t>2. Make idempotency a first-class database design requirement</w:t>
      </w:r>
    </w:p>
    <w:p w14:paraId="4A24EF8E" w14:textId="77777777" w:rsidR="00C730BF" w:rsidRPr="00C730BF" w:rsidRDefault="00C730BF" w:rsidP="00C730BF">
      <w:r w:rsidRPr="00C730BF">
        <w:t>A critical practical consideration for OIC/ATP custom implementations is idempotency. OIC retries, resubmissions, callback duplicates, re-polling, and partial-failure reruns are normal operational realities. ATP must therefore be designed so that repeated execution of the same logical event does not create duplicate business processing.</w:t>
      </w:r>
    </w:p>
    <w:p w14:paraId="0606F2DB" w14:textId="77777777" w:rsidR="00C730BF" w:rsidRPr="00C730BF" w:rsidRDefault="00C730BF" w:rsidP="00C730BF">
      <w:r w:rsidRPr="00C730BF">
        <w:t>The assessment identifies multiple duplicate-risk patterns: raw source staging tables with no uniqueness controls, snapshot tables with no primary keys, watermark tables without unique natural keys, and batch tables without reliable uniqueness in all cases. These are not merely generic integrity weaknesses; they are replay-control failures.</w:t>
      </w:r>
    </w:p>
    <w:p w14:paraId="539F6DFC" w14:textId="77777777" w:rsidR="00C730BF" w:rsidRPr="00C730BF" w:rsidRDefault="00C730BF" w:rsidP="00C730BF">
      <w:r w:rsidRPr="00C730BF">
        <w:t>For developers, every ATP write path should answer three questions:</w:t>
      </w:r>
    </w:p>
    <w:p w14:paraId="264B3FC1" w14:textId="77777777" w:rsidR="00C730BF" w:rsidRPr="00C730BF" w:rsidRDefault="00C730BF" w:rsidP="00C730BF">
      <w:pPr>
        <w:numPr>
          <w:ilvl w:val="0"/>
          <w:numId w:val="1"/>
        </w:numPr>
      </w:pPr>
      <w:r w:rsidRPr="00C730BF">
        <w:t>What uniquely identifies this business event or integration event?</w:t>
      </w:r>
    </w:p>
    <w:p w14:paraId="2FD99579" w14:textId="77777777" w:rsidR="00C730BF" w:rsidRPr="00C730BF" w:rsidRDefault="00C730BF" w:rsidP="00C730BF">
      <w:pPr>
        <w:numPr>
          <w:ilvl w:val="0"/>
          <w:numId w:val="1"/>
        </w:numPr>
      </w:pPr>
      <w:r w:rsidRPr="00C730BF">
        <w:t>If the same request is executed twice, what prevents duplicate logical processing?</w:t>
      </w:r>
    </w:p>
    <w:p w14:paraId="49480BF0" w14:textId="77777777" w:rsidR="00C730BF" w:rsidRPr="00C730BF" w:rsidRDefault="00C730BF" w:rsidP="00C730BF">
      <w:pPr>
        <w:numPr>
          <w:ilvl w:val="0"/>
          <w:numId w:val="1"/>
        </w:numPr>
      </w:pPr>
      <w:r w:rsidRPr="00C730BF">
        <w:t>Is duplicate prevention enforced in the schema, or only assumed in package or OIC logic?</w:t>
      </w:r>
    </w:p>
    <w:p w14:paraId="6BFECCE1" w14:textId="77777777" w:rsidR="00C730BF" w:rsidRPr="00C730BF" w:rsidRDefault="00C730BF" w:rsidP="00C730BF">
      <w:r w:rsidRPr="00C730BF">
        <w:t>Idempotency should be enforced through proper primary keys, natural unique constraints, replay-safe merge logic, and explicit control identifiers. Without that, retries can silently produce duplicate staging rows, duplicate interface rows, duplicate imports, and conflicting support records.</w:t>
      </w:r>
    </w:p>
    <w:p w14:paraId="2906B3A6" w14:textId="77777777" w:rsidR="00C730BF" w:rsidRPr="00C730BF" w:rsidRDefault="00C730BF" w:rsidP="00C730BF">
      <w:r w:rsidRPr="00C730BF">
        <w:pict w14:anchorId="2A2FC097">
          <v:rect id="_x0000_i1148" style="width:0;height:1.5pt" o:hralign="center" o:hrstd="t" o:hr="t" fillcolor="#a0a0a0" stroked="f"/>
        </w:pict>
      </w:r>
    </w:p>
    <w:p w14:paraId="0126ADF7" w14:textId="77777777" w:rsidR="00C730BF" w:rsidRPr="00C730BF" w:rsidRDefault="00C730BF" w:rsidP="00C730BF">
      <w:pPr>
        <w:rPr>
          <w:b/>
          <w:bCs/>
        </w:rPr>
      </w:pPr>
      <w:r w:rsidRPr="00C730BF">
        <w:rPr>
          <w:b/>
          <w:bCs/>
        </w:rPr>
        <w:t>3. Treat batch-control tables as operational system-of-record tables</w:t>
      </w:r>
    </w:p>
    <w:p w14:paraId="43EC9B39" w14:textId="77777777" w:rsidR="00C730BF" w:rsidRPr="00C730BF" w:rsidRDefault="00C730BF" w:rsidP="00C730BF">
      <w:r w:rsidRPr="00C730BF">
        <w:t>Batch-control tables are not auxiliary metadata. In this implementation, they are effectively the operational ledger for integration state. They hold batch identifiers, OIC instance references, process request IDs, progression statuses, and other key control markers needed for orchestration and support.</w:t>
      </w:r>
    </w:p>
    <w:p w14:paraId="670B9FEA" w14:textId="77777777" w:rsidR="00C730BF" w:rsidRPr="00C730BF" w:rsidRDefault="00C730BF" w:rsidP="00C730BF">
      <w:r w:rsidRPr="00C730BF">
        <w:t xml:space="preserve">The assessment shows that defects in batch-control design have disproportionate impact: missing primary keys, typo-prone control columns, overloaded ADDITIONALINFO fields, </w:t>
      </w:r>
      <w:r w:rsidRPr="00C730BF">
        <w:lastRenderedPageBreak/>
        <w:t>and status-transition bugs can prevent request IDs from being stored, leave batches stuck in intermediate states, and make support queries ambiguous.</w:t>
      </w:r>
    </w:p>
    <w:p w14:paraId="4402C0E1" w14:textId="77777777" w:rsidR="00C730BF" w:rsidRPr="00C730BF" w:rsidRDefault="00C730BF" w:rsidP="00C730BF">
      <w:r w:rsidRPr="00C730BF">
        <w:t>For this reason, batch-control tables should be designed to the same standard as core transactional tables. They should have:</w:t>
      </w:r>
    </w:p>
    <w:p w14:paraId="38AE4EA8" w14:textId="77777777" w:rsidR="00C730BF" w:rsidRPr="00C730BF" w:rsidRDefault="00C730BF" w:rsidP="00C730BF">
      <w:pPr>
        <w:numPr>
          <w:ilvl w:val="0"/>
          <w:numId w:val="2"/>
        </w:numPr>
      </w:pPr>
      <w:r w:rsidRPr="00C730BF">
        <w:t>stable and enforced primary keys,</w:t>
      </w:r>
    </w:p>
    <w:p w14:paraId="120C517C" w14:textId="77777777" w:rsidR="00C730BF" w:rsidRPr="00C730BF" w:rsidRDefault="00C730BF" w:rsidP="00C730BF">
      <w:pPr>
        <w:numPr>
          <w:ilvl w:val="0"/>
          <w:numId w:val="2"/>
        </w:numPr>
      </w:pPr>
      <w:r w:rsidRPr="00C730BF">
        <w:t>clearly named process-control columns,</w:t>
      </w:r>
    </w:p>
    <w:p w14:paraId="7D9EBC56" w14:textId="77777777" w:rsidR="00C730BF" w:rsidRPr="00C730BF" w:rsidRDefault="00C730BF" w:rsidP="00C730BF">
      <w:pPr>
        <w:numPr>
          <w:ilvl w:val="0"/>
          <w:numId w:val="2"/>
        </w:numPr>
      </w:pPr>
      <w:r w:rsidRPr="00C730BF">
        <w:t>milestone timestamps,</w:t>
      </w:r>
    </w:p>
    <w:p w14:paraId="4DAC3B95" w14:textId="77777777" w:rsidR="00C730BF" w:rsidRPr="00C730BF" w:rsidRDefault="00C730BF" w:rsidP="00C730BF">
      <w:pPr>
        <w:numPr>
          <w:ilvl w:val="0"/>
          <w:numId w:val="2"/>
        </w:numPr>
      </w:pPr>
      <w:r w:rsidRPr="00C730BF">
        <w:t>governed statuses,</w:t>
      </w:r>
    </w:p>
    <w:p w14:paraId="6376A535" w14:textId="77777777" w:rsidR="00C730BF" w:rsidRPr="00C730BF" w:rsidRDefault="00C730BF" w:rsidP="00C730BF">
      <w:pPr>
        <w:numPr>
          <w:ilvl w:val="0"/>
          <w:numId w:val="2"/>
        </w:numPr>
      </w:pPr>
      <w:r w:rsidRPr="00C730BF">
        <w:t>deterministic state-transition logic,</w:t>
      </w:r>
    </w:p>
    <w:p w14:paraId="59ACD98A" w14:textId="77777777" w:rsidR="00C730BF" w:rsidRPr="00C730BF" w:rsidRDefault="00C730BF" w:rsidP="00C730BF">
      <w:pPr>
        <w:numPr>
          <w:ilvl w:val="0"/>
          <w:numId w:val="2"/>
        </w:numPr>
      </w:pPr>
      <w:r w:rsidRPr="00C730BF">
        <w:t xml:space="preserve">and </w:t>
      </w:r>
      <w:proofErr w:type="spellStart"/>
      <w:r w:rsidRPr="00C730BF">
        <w:t>rowcount</w:t>
      </w:r>
      <w:proofErr w:type="spellEnd"/>
      <w:r w:rsidRPr="00C730BF">
        <w:t>-validated updates.</w:t>
      </w:r>
    </w:p>
    <w:p w14:paraId="57226390" w14:textId="77777777" w:rsidR="00C730BF" w:rsidRPr="00C730BF" w:rsidRDefault="00C730BF" w:rsidP="00C730BF">
      <w:r w:rsidRPr="00C730BF">
        <w:t>A batch table should be authoritative enough that a support analyst can reconstruct the lifecycle of a batch directly from the database.</w:t>
      </w:r>
    </w:p>
    <w:p w14:paraId="5D5282BF" w14:textId="77777777" w:rsidR="00C730BF" w:rsidRPr="00C730BF" w:rsidRDefault="00C730BF" w:rsidP="00C730BF">
      <w:r w:rsidRPr="00C730BF">
        <w:pict w14:anchorId="04FC1E60">
          <v:rect id="_x0000_i1149" style="width:0;height:1.5pt" o:hralign="center" o:hrstd="t" o:hr="t" fillcolor="#a0a0a0" stroked="f"/>
        </w:pict>
      </w:r>
    </w:p>
    <w:p w14:paraId="416EC7C2" w14:textId="77777777" w:rsidR="00C730BF" w:rsidRPr="00C730BF" w:rsidRDefault="00C730BF" w:rsidP="00C730BF">
      <w:pPr>
        <w:rPr>
          <w:b/>
          <w:bCs/>
        </w:rPr>
      </w:pPr>
      <w:r w:rsidRPr="00C730BF">
        <w:rPr>
          <w:b/>
          <w:bCs/>
        </w:rPr>
        <w:t>4. Model watermark control as a first-class design concern</w:t>
      </w:r>
    </w:p>
    <w:p w14:paraId="51F2264E" w14:textId="77777777" w:rsidR="00C730BF" w:rsidRPr="00C730BF" w:rsidRDefault="00C730BF" w:rsidP="00C730BF">
      <w:r w:rsidRPr="00C730BF">
        <w:t xml:space="preserve">Watermark tables govern incremental extraction correctness and therefore must be treated as critical control tables, not casual configuration storage. The assessment shows two serious weaknesses: watermark dates stored as VARCHAR2 and watermark tables lacking uniqueness </w:t>
      </w:r>
      <w:proofErr w:type="gramStart"/>
      <w:r w:rsidRPr="00C730BF">
        <w:t>on</w:t>
      </w:r>
      <w:proofErr w:type="gramEnd"/>
      <w:r w:rsidRPr="00C730BF">
        <w:t xml:space="preserve"> their natural business key.</w:t>
      </w:r>
    </w:p>
    <w:p w14:paraId="51B46D74" w14:textId="77777777" w:rsidR="00C730BF" w:rsidRPr="00C730BF" w:rsidRDefault="00C730BF" w:rsidP="00C730BF">
      <w:r w:rsidRPr="00C730BF">
        <w:t>This is a high-risk design flaw because watermarks determine which records are considered new, changed, or already processed. If a watermark is duplicated, stored in the wrong datatype, or advanced incorrectly, ATP may silently miss source records or reprocess them.</w:t>
      </w:r>
    </w:p>
    <w:p w14:paraId="11D7E34B" w14:textId="77777777" w:rsidR="00C730BF" w:rsidRPr="00C730BF" w:rsidRDefault="00C730BF" w:rsidP="00C730BF">
      <w:r w:rsidRPr="00C730BF">
        <w:t>Watermark design should therefore include:</w:t>
      </w:r>
    </w:p>
    <w:p w14:paraId="22377A28" w14:textId="77777777" w:rsidR="00C730BF" w:rsidRPr="00C730BF" w:rsidRDefault="00C730BF" w:rsidP="00C730BF">
      <w:pPr>
        <w:numPr>
          <w:ilvl w:val="0"/>
          <w:numId w:val="3"/>
        </w:numPr>
      </w:pPr>
      <w:r w:rsidRPr="00C730BF">
        <w:t>a true temporal datatype such as TIMESTAMP,</w:t>
      </w:r>
    </w:p>
    <w:p w14:paraId="45561611" w14:textId="77777777" w:rsidR="00C730BF" w:rsidRPr="00C730BF" w:rsidRDefault="00C730BF" w:rsidP="00C730BF">
      <w:pPr>
        <w:numPr>
          <w:ilvl w:val="0"/>
          <w:numId w:val="3"/>
        </w:numPr>
      </w:pPr>
      <w:r w:rsidRPr="00C730BF">
        <w:t>a unique constraint on the natural key,</w:t>
      </w:r>
    </w:p>
    <w:p w14:paraId="1299533C" w14:textId="77777777" w:rsidR="00C730BF" w:rsidRPr="00C730BF" w:rsidRDefault="00C730BF" w:rsidP="00C730BF">
      <w:pPr>
        <w:numPr>
          <w:ilvl w:val="0"/>
          <w:numId w:val="3"/>
        </w:numPr>
      </w:pPr>
      <w:r w:rsidRPr="00C730BF">
        <w:t>deterministic update ownership,</w:t>
      </w:r>
    </w:p>
    <w:p w14:paraId="1F1ADC19" w14:textId="77777777" w:rsidR="00C730BF" w:rsidRPr="00C730BF" w:rsidRDefault="00C730BF" w:rsidP="00C730BF">
      <w:pPr>
        <w:numPr>
          <w:ilvl w:val="0"/>
          <w:numId w:val="3"/>
        </w:numPr>
      </w:pPr>
      <w:r w:rsidRPr="00C730BF">
        <w:t>atomic update semantics,</w:t>
      </w:r>
    </w:p>
    <w:p w14:paraId="647A6081" w14:textId="77777777" w:rsidR="00C730BF" w:rsidRPr="00C730BF" w:rsidRDefault="00C730BF" w:rsidP="00C730BF">
      <w:pPr>
        <w:numPr>
          <w:ilvl w:val="0"/>
          <w:numId w:val="3"/>
        </w:numPr>
      </w:pPr>
      <w:r w:rsidRPr="00C730BF">
        <w:t>visibility into current and prior values,</w:t>
      </w:r>
    </w:p>
    <w:p w14:paraId="45D52242" w14:textId="77777777" w:rsidR="00C730BF" w:rsidRPr="00C730BF" w:rsidRDefault="00C730BF" w:rsidP="00C730BF">
      <w:pPr>
        <w:numPr>
          <w:ilvl w:val="0"/>
          <w:numId w:val="3"/>
        </w:numPr>
      </w:pPr>
      <w:r w:rsidRPr="00C730BF">
        <w:t>and clear rules governing when the watermark may advance.</w:t>
      </w:r>
    </w:p>
    <w:p w14:paraId="1C901F50" w14:textId="77777777" w:rsidR="00C730BF" w:rsidRPr="00C730BF" w:rsidRDefault="00C730BF" w:rsidP="00C730BF">
      <w:r w:rsidRPr="00C730BF">
        <w:lastRenderedPageBreak/>
        <w:t>Watermark correctness is foundational to extraction accuracy. It should be treated with the same rigor as batch control and key integrity.</w:t>
      </w:r>
    </w:p>
    <w:p w14:paraId="600DF1AA" w14:textId="77777777" w:rsidR="00C730BF" w:rsidRPr="00C730BF" w:rsidRDefault="00C730BF" w:rsidP="00C730BF">
      <w:r w:rsidRPr="00C730BF">
        <w:pict w14:anchorId="57260138">
          <v:rect id="_x0000_i1150" style="width:0;height:1.5pt" o:hralign="center" o:hrstd="t" o:hr="t" fillcolor="#a0a0a0" stroked="f"/>
        </w:pict>
      </w:r>
    </w:p>
    <w:p w14:paraId="11FCEA0A" w14:textId="77777777" w:rsidR="00C730BF" w:rsidRPr="00C730BF" w:rsidRDefault="00C730BF" w:rsidP="00C730BF">
      <w:pPr>
        <w:rPr>
          <w:b/>
          <w:bCs/>
        </w:rPr>
      </w:pPr>
      <w:r w:rsidRPr="00C730BF">
        <w:rPr>
          <w:b/>
          <w:bCs/>
        </w:rPr>
        <w:t>5. Enforce datatype consistency end-to-end</w:t>
      </w:r>
    </w:p>
    <w:p w14:paraId="2EAB4EF6" w14:textId="77777777" w:rsidR="00C730BF" w:rsidRPr="00C730BF" w:rsidRDefault="00C730BF" w:rsidP="00C730BF">
      <w:r w:rsidRPr="00C730BF">
        <w:t>Datatype consistency is one of the most important architectural requirements highlighted by the assessment. When the same business identifier or control value appears in multiple ATP tables, Oracle object types, and package procedures, those representations must remain fully aligned.</w:t>
      </w:r>
    </w:p>
    <w:p w14:paraId="7D00F839" w14:textId="77777777" w:rsidR="00C730BF" w:rsidRPr="00C730BF" w:rsidRDefault="00C730BF" w:rsidP="00C730BF">
      <w:r w:rsidRPr="00C730BF">
        <w:t>The assessment identifies several mismatches with direct operational impact, including:</w:t>
      </w:r>
    </w:p>
    <w:p w14:paraId="293FA024" w14:textId="77777777" w:rsidR="00C730BF" w:rsidRPr="00C730BF" w:rsidRDefault="00C730BF" w:rsidP="00C730BF">
      <w:pPr>
        <w:numPr>
          <w:ilvl w:val="0"/>
          <w:numId w:val="4"/>
        </w:numPr>
      </w:pPr>
      <w:r w:rsidRPr="00C730BF">
        <w:t>interface keys typed as NUMBER in error tables but VARCHAR2(50) in interface tables,</w:t>
      </w:r>
    </w:p>
    <w:p w14:paraId="08EF3B41" w14:textId="77777777" w:rsidR="00C730BF" w:rsidRPr="00C730BF" w:rsidRDefault="00C730BF" w:rsidP="00C730BF">
      <w:pPr>
        <w:numPr>
          <w:ilvl w:val="0"/>
          <w:numId w:val="4"/>
        </w:numPr>
      </w:pPr>
      <w:r w:rsidRPr="00C730BF">
        <w:t>receipt and shipment identifiers typed differently across lifecycle tables,</w:t>
      </w:r>
    </w:p>
    <w:p w14:paraId="5CC0EC9A" w14:textId="77777777" w:rsidR="00C730BF" w:rsidRPr="00C730BF" w:rsidRDefault="00C730BF" w:rsidP="00C730BF">
      <w:pPr>
        <w:numPr>
          <w:ilvl w:val="0"/>
          <w:numId w:val="4"/>
        </w:numPr>
      </w:pPr>
      <w:r w:rsidRPr="00C730BF">
        <w:t>date fields stored as strings in tables but represented as DATE in object types,</w:t>
      </w:r>
    </w:p>
    <w:p w14:paraId="7041AE6D" w14:textId="77777777" w:rsidR="00C730BF" w:rsidRPr="00C730BF" w:rsidRDefault="00C730BF" w:rsidP="00C730BF">
      <w:pPr>
        <w:numPr>
          <w:ilvl w:val="0"/>
          <w:numId w:val="4"/>
        </w:numPr>
      </w:pPr>
      <w:r w:rsidRPr="00C730BF">
        <w:t>and object type attribute lengths misaligned to table column lengths.</w:t>
      </w:r>
    </w:p>
    <w:p w14:paraId="22CD8DAD" w14:textId="77777777" w:rsidR="00C730BF" w:rsidRPr="00C730BF" w:rsidRDefault="00C730BF" w:rsidP="00C730BF">
      <w:r w:rsidRPr="00C730BF">
        <w:t>These inconsistencies introduce implicit conversion, suppress useful index access, create runtime conversion errors, and break reliable join-back between source, interface, error, and reporting layers.</w:t>
      </w:r>
    </w:p>
    <w:p w14:paraId="42C0E5E9" w14:textId="77777777" w:rsidR="00C730BF" w:rsidRPr="00C730BF" w:rsidRDefault="00C730BF" w:rsidP="00C730BF">
      <w:r w:rsidRPr="00C730BF">
        <w:t>The design rule should be strict: if two fields represent the same semantic value, they should have the same datatype, size, and compatible nullability across tables, object types, and PL/SQL structures. This is especially important for:</w:t>
      </w:r>
    </w:p>
    <w:p w14:paraId="7D410118" w14:textId="77777777" w:rsidR="00C730BF" w:rsidRPr="00C730BF" w:rsidRDefault="00C730BF" w:rsidP="00C730BF">
      <w:pPr>
        <w:numPr>
          <w:ilvl w:val="0"/>
          <w:numId w:val="5"/>
        </w:numPr>
      </w:pPr>
      <w:r w:rsidRPr="00C730BF">
        <w:t>interface keys,</w:t>
      </w:r>
    </w:p>
    <w:p w14:paraId="41D3F3AC" w14:textId="77777777" w:rsidR="00C730BF" w:rsidRPr="00C730BF" w:rsidRDefault="00C730BF" w:rsidP="00C730BF">
      <w:pPr>
        <w:numPr>
          <w:ilvl w:val="0"/>
          <w:numId w:val="5"/>
        </w:numPr>
      </w:pPr>
      <w:r w:rsidRPr="00C730BF">
        <w:t>batch IDs,</w:t>
      </w:r>
    </w:p>
    <w:p w14:paraId="7B37F45C" w14:textId="77777777" w:rsidR="00C730BF" w:rsidRPr="00C730BF" w:rsidRDefault="00C730BF" w:rsidP="00C730BF">
      <w:pPr>
        <w:numPr>
          <w:ilvl w:val="0"/>
          <w:numId w:val="5"/>
        </w:numPr>
      </w:pPr>
      <w:r w:rsidRPr="00C730BF">
        <w:t>import IDs,</w:t>
      </w:r>
    </w:p>
    <w:p w14:paraId="2CA65653" w14:textId="77777777" w:rsidR="00C730BF" w:rsidRPr="00C730BF" w:rsidRDefault="00C730BF" w:rsidP="00C730BF">
      <w:pPr>
        <w:numPr>
          <w:ilvl w:val="0"/>
          <w:numId w:val="5"/>
        </w:numPr>
      </w:pPr>
      <w:r w:rsidRPr="00C730BF">
        <w:t>request IDs,</w:t>
      </w:r>
    </w:p>
    <w:p w14:paraId="044A6D05" w14:textId="77777777" w:rsidR="00C730BF" w:rsidRPr="00C730BF" w:rsidRDefault="00C730BF" w:rsidP="00C730BF">
      <w:pPr>
        <w:numPr>
          <w:ilvl w:val="0"/>
          <w:numId w:val="5"/>
        </w:numPr>
      </w:pPr>
      <w:r w:rsidRPr="00C730BF">
        <w:t>status values,</w:t>
      </w:r>
    </w:p>
    <w:p w14:paraId="36451B81" w14:textId="77777777" w:rsidR="00C730BF" w:rsidRPr="00C730BF" w:rsidRDefault="00C730BF" w:rsidP="00C730BF">
      <w:pPr>
        <w:numPr>
          <w:ilvl w:val="0"/>
          <w:numId w:val="5"/>
        </w:numPr>
      </w:pPr>
      <w:r w:rsidRPr="00C730BF">
        <w:t>source business numbers,</w:t>
      </w:r>
    </w:p>
    <w:p w14:paraId="143CF0AB" w14:textId="77777777" w:rsidR="00C730BF" w:rsidRPr="00C730BF" w:rsidRDefault="00C730BF" w:rsidP="00C730BF">
      <w:pPr>
        <w:numPr>
          <w:ilvl w:val="0"/>
          <w:numId w:val="5"/>
        </w:numPr>
      </w:pPr>
      <w:r w:rsidRPr="00C730BF">
        <w:t>and date/time attributes.</w:t>
      </w:r>
    </w:p>
    <w:p w14:paraId="00E98A92" w14:textId="77777777" w:rsidR="00C730BF" w:rsidRPr="00C730BF" w:rsidRDefault="00C730BF" w:rsidP="00C730BF">
      <w:r w:rsidRPr="00C730BF">
        <w:lastRenderedPageBreak/>
        <w:t>Where source payloads contain untrusted or variably formatted dates, the recommended pattern is to store both a normalized typed date/timestamp and, where truly needed, the raw source string as a separate audit column.</w:t>
      </w:r>
    </w:p>
    <w:p w14:paraId="1A75AA3B" w14:textId="77777777" w:rsidR="00C730BF" w:rsidRPr="00C730BF" w:rsidRDefault="00C730BF" w:rsidP="00C730BF">
      <w:r w:rsidRPr="00C730BF">
        <w:pict w14:anchorId="6809B1F5">
          <v:rect id="_x0000_i1151" style="width:0;height:1.5pt" o:hralign="center" o:hrstd="t" o:hr="t" fillcolor="#a0a0a0" stroked="f"/>
        </w:pict>
      </w:r>
    </w:p>
    <w:p w14:paraId="2F104CD6" w14:textId="77777777" w:rsidR="00C730BF" w:rsidRPr="00C730BF" w:rsidRDefault="00C730BF" w:rsidP="00C730BF">
      <w:pPr>
        <w:rPr>
          <w:b/>
          <w:bCs/>
        </w:rPr>
      </w:pPr>
      <w:r w:rsidRPr="00C730BF">
        <w:rPr>
          <w:b/>
          <w:bCs/>
        </w:rPr>
        <w:t xml:space="preserve">6. Design </w:t>
      </w:r>
      <w:proofErr w:type="gramStart"/>
      <w:r w:rsidRPr="00C730BF">
        <w:rPr>
          <w:b/>
          <w:bCs/>
        </w:rPr>
        <w:t>error</w:t>
      </w:r>
      <w:proofErr w:type="gramEnd"/>
      <w:r w:rsidRPr="00C730BF">
        <w:rPr>
          <w:b/>
          <w:bCs/>
        </w:rPr>
        <w:t xml:space="preserve"> capture so errors can be deterministically joined back to business truth</w:t>
      </w:r>
    </w:p>
    <w:p w14:paraId="1F6083F3" w14:textId="77777777" w:rsidR="00C730BF" w:rsidRPr="00C730BF" w:rsidRDefault="00C730BF" w:rsidP="00C730BF">
      <w:r w:rsidRPr="00C730BF">
        <w:t>Error tables are only useful if support teams can reliably trace an error back to the originating source record, interface row, batch, and Oracle import context. The assessment shows that where key datatypes do not match or join semantics are weak, the error layer becomes operationally unreliable.</w:t>
      </w:r>
    </w:p>
    <w:p w14:paraId="54B2C712" w14:textId="77777777" w:rsidR="00C730BF" w:rsidRPr="00C730BF" w:rsidRDefault="00C730BF" w:rsidP="00C730BF">
      <w:r w:rsidRPr="00C730BF">
        <w:t>Error capture design must therefore preserve exact key datatypes and correlation rules. An error row should be joinable without guesswork to:</w:t>
      </w:r>
    </w:p>
    <w:p w14:paraId="698BF22A" w14:textId="77777777" w:rsidR="00C730BF" w:rsidRPr="00C730BF" w:rsidRDefault="00C730BF" w:rsidP="00C730BF">
      <w:pPr>
        <w:numPr>
          <w:ilvl w:val="0"/>
          <w:numId w:val="6"/>
        </w:numPr>
      </w:pPr>
      <w:r w:rsidRPr="00C730BF">
        <w:t>the parent interface row,</w:t>
      </w:r>
    </w:p>
    <w:p w14:paraId="38D617B7" w14:textId="77777777" w:rsidR="00C730BF" w:rsidRPr="00C730BF" w:rsidRDefault="00C730BF" w:rsidP="00C730BF">
      <w:pPr>
        <w:numPr>
          <w:ilvl w:val="0"/>
          <w:numId w:val="6"/>
        </w:numPr>
      </w:pPr>
      <w:r w:rsidRPr="00C730BF">
        <w:t>the associated batch,</w:t>
      </w:r>
    </w:p>
    <w:p w14:paraId="085894E3" w14:textId="77777777" w:rsidR="00C730BF" w:rsidRPr="00C730BF" w:rsidRDefault="00C730BF" w:rsidP="00C730BF">
      <w:pPr>
        <w:numPr>
          <w:ilvl w:val="0"/>
          <w:numId w:val="6"/>
        </w:numPr>
      </w:pPr>
      <w:r w:rsidRPr="00C730BF">
        <w:t>the source staging record,</w:t>
      </w:r>
    </w:p>
    <w:p w14:paraId="49546DEE" w14:textId="77777777" w:rsidR="00C730BF" w:rsidRPr="00C730BF" w:rsidRDefault="00C730BF" w:rsidP="00C730BF">
      <w:pPr>
        <w:numPr>
          <w:ilvl w:val="0"/>
          <w:numId w:val="6"/>
        </w:numPr>
      </w:pPr>
      <w:r w:rsidRPr="00C730BF">
        <w:t>and, where applicable, the post-import or reconciliation record.</w:t>
      </w:r>
    </w:p>
    <w:p w14:paraId="470A1668" w14:textId="77777777" w:rsidR="00C730BF" w:rsidRPr="00C730BF" w:rsidRDefault="00C730BF" w:rsidP="00C730BF">
      <w:r w:rsidRPr="00C730BF">
        <w:t>If this join path requires implicit conversion or depends on non-unique columns, the error model is not fit for production support. Error table design should therefore be reviewed not only from a logging perspective, but from a support traceability perspective.</w:t>
      </w:r>
    </w:p>
    <w:p w14:paraId="690A708A" w14:textId="77777777" w:rsidR="00C730BF" w:rsidRPr="00C730BF" w:rsidRDefault="00C730BF" w:rsidP="00C730BF">
      <w:r w:rsidRPr="00C730BF">
        <w:pict w14:anchorId="56FD046E">
          <v:rect id="_x0000_i1152" style="width:0;height:1.5pt" o:hralign="center" o:hrstd="t" o:hr="t" fillcolor="#a0a0a0" stroked="f"/>
        </w:pict>
      </w:r>
    </w:p>
    <w:p w14:paraId="508C5964" w14:textId="77777777" w:rsidR="00C730BF" w:rsidRPr="00C730BF" w:rsidRDefault="00C730BF" w:rsidP="00C730BF">
      <w:pPr>
        <w:rPr>
          <w:b/>
          <w:bCs/>
        </w:rPr>
      </w:pPr>
      <w:r w:rsidRPr="00C730BF">
        <w:rPr>
          <w:b/>
          <w:bCs/>
        </w:rPr>
        <w:t>7. Use database-enforced integrity, not application-assumed integrity</w:t>
      </w:r>
    </w:p>
    <w:p w14:paraId="334E2373" w14:textId="77777777" w:rsidR="00C730BF" w:rsidRPr="00C730BF" w:rsidRDefault="00C730BF" w:rsidP="00C730BF">
      <w:r w:rsidRPr="00C730BF">
        <w:t>The assessment repeatedly shows that correctness is being deferred too far upward into OIC flows and PL/SQL package assumptions. This creates fragile designs where duplicate rows, orphaned children, invalid statuses, and ambiguous snapshots are only discovered after the fact.</w:t>
      </w:r>
    </w:p>
    <w:p w14:paraId="57B2CF9D" w14:textId="77777777" w:rsidR="00C730BF" w:rsidRPr="00C730BF" w:rsidRDefault="00C730BF" w:rsidP="00C730BF">
      <w:r w:rsidRPr="00C730BF">
        <w:t>ATP custom implementations should enforce integrity as early as possible through schema controls:</w:t>
      </w:r>
    </w:p>
    <w:p w14:paraId="01D395E7" w14:textId="77777777" w:rsidR="00C730BF" w:rsidRPr="00C730BF" w:rsidRDefault="00C730BF" w:rsidP="00C730BF">
      <w:pPr>
        <w:numPr>
          <w:ilvl w:val="0"/>
          <w:numId w:val="7"/>
        </w:numPr>
      </w:pPr>
      <w:r w:rsidRPr="00C730BF">
        <w:t>primary keys or natural unique constraints,</w:t>
      </w:r>
    </w:p>
    <w:p w14:paraId="2D2A668E" w14:textId="77777777" w:rsidR="00C730BF" w:rsidRPr="00C730BF" w:rsidRDefault="00C730BF" w:rsidP="00C730BF">
      <w:pPr>
        <w:numPr>
          <w:ilvl w:val="0"/>
          <w:numId w:val="7"/>
        </w:numPr>
      </w:pPr>
      <w:r w:rsidRPr="00C730BF">
        <w:t>foreign keys across parent-child hierarchies,</w:t>
      </w:r>
    </w:p>
    <w:p w14:paraId="4EAD32CC" w14:textId="77777777" w:rsidR="00C730BF" w:rsidRPr="00C730BF" w:rsidRDefault="00C730BF" w:rsidP="00C730BF">
      <w:pPr>
        <w:numPr>
          <w:ilvl w:val="0"/>
          <w:numId w:val="7"/>
        </w:numPr>
      </w:pPr>
      <w:r w:rsidRPr="00C730BF">
        <w:t>non-null constraints on mandatory control columns,</w:t>
      </w:r>
    </w:p>
    <w:p w14:paraId="6582AB73" w14:textId="77777777" w:rsidR="00C730BF" w:rsidRPr="00C730BF" w:rsidRDefault="00C730BF" w:rsidP="00C730BF">
      <w:pPr>
        <w:numPr>
          <w:ilvl w:val="0"/>
          <w:numId w:val="7"/>
        </w:numPr>
      </w:pPr>
      <w:r w:rsidRPr="00C730BF">
        <w:lastRenderedPageBreak/>
        <w:t>and governed status domains.</w:t>
      </w:r>
    </w:p>
    <w:p w14:paraId="60F857D5" w14:textId="77777777" w:rsidR="00C730BF" w:rsidRPr="00C730BF" w:rsidRDefault="00C730BF" w:rsidP="00C730BF">
      <w:r w:rsidRPr="00C730BF">
        <w:t>This is especially important in FBDI-oriented structures such as:</w:t>
      </w:r>
    </w:p>
    <w:p w14:paraId="324E664A" w14:textId="77777777" w:rsidR="00C730BF" w:rsidRPr="00C730BF" w:rsidRDefault="00C730BF" w:rsidP="00C730BF">
      <w:pPr>
        <w:numPr>
          <w:ilvl w:val="0"/>
          <w:numId w:val="8"/>
        </w:numPr>
      </w:pPr>
      <w:proofErr w:type="gramStart"/>
      <w:r w:rsidRPr="00C730BF">
        <w:t>header → line →</w:t>
      </w:r>
      <w:proofErr w:type="gramEnd"/>
      <w:r w:rsidRPr="00C730BF">
        <w:t xml:space="preserve"> line location → distribution,</w:t>
      </w:r>
    </w:p>
    <w:p w14:paraId="04B6EB8B" w14:textId="77777777" w:rsidR="00C730BF" w:rsidRPr="00C730BF" w:rsidRDefault="00C730BF" w:rsidP="00C730BF">
      <w:pPr>
        <w:numPr>
          <w:ilvl w:val="0"/>
          <w:numId w:val="8"/>
        </w:numPr>
      </w:pPr>
      <w:r w:rsidRPr="00C730BF">
        <w:t>receipt header → receipt transaction,</w:t>
      </w:r>
    </w:p>
    <w:p w14:paraId="7876F1FC" w14:textId="77777777" w:rsidR="00C730BF" w:rsidRPr="00C730BF" w:rsidRDefault="00C730BF" w:rsidP="00C730BF">
      <w:pPr>
        <w:numPr>
          <w:ilvl w:val="0"/>
          <w:numId w:val="8"/>
        </w:numPr>
      </w:pPr>
      <w:r w:rsidRPr="00C730BF">
        <w:t>batch → staged records,</w:t>
      </w:r>
    </w:p>
    <w:p w14:paraId="062E3D1F" w14:textId="77777777" w:rsidR="00C730BF" w:rsidRPr="00C730BF" w:rsidRDefault="00C730BF" w:rsidP="00C730BF">
      <w:pPr>
        <w:numPr>
          <w:ilvl w:val="0"/>
          <w:numId w:val="8"/>
        </w:numPr>
      </w:pPr>
      <w:r w:rsidRPr="00C730BF">
        <w:t>and watermark domain tables.</w:t>
      </w:r>
    </w:p>
    <w:p w14:paraId="36EB8962" w14:textId="77777777" w:rsidR="00C730BF" w:rsidRPr="00C730BF" w:rsidRDefault="00C730BF" w:rsidP="00C730BF">
      <w:r w:rsidRPr="00C730BF">
        <w:t xml:space="preserve">A related caution from the assessment is that any proposed status-reference design must be relationally correct. If a status reference table is keyed by both domain and code, child tables must either reference both columns </w:t>
      </w:r>
      <w:proofErr w:type="gramStart"/>
      <w:r w:rsidRPr="00C730BF">
        <w:t>or</w:t>
      </w:r>
      <w:proofErr w:type="gramEnd"/>
      <w:r w:rsidRPr="00C730BF">
        <w:t xml:space="preserve"> the code itself must be globally unique. Partial foreign key modeling should be avoided.</w:t>
      </w:r>
    </w:p>
    <w:p w14:paraId="05023425" w14:textId="77777777" w:rsidR="00C730BF" w:rsidRPr="00C730BF" w:rsidRDefault="00C730BF" w:rsidP="00C730BF">
      <w:r w:rsidRPr="00C730BF">
        <w:pict w14:anchorId="439FD68A">
          <v:rect id="_x0000_i1153" style="width:0;height:1.5pt" o:hralign="center" o:hrstd="t" o:hr="t" fillcolor="#a0a0a0" stroked="f"/>
        </w:pict>
      </w:r>
    </w:p>
    <w:p w14:paraId="4097241E" w14:textId="77777777" w:rsidR="00C730BF" w:rsidRPr="00C730BF" w:rsidRDefault="00C730BF" w:rsidP="00C730BF">
      <w:pPr>
        <w:rPr>
          <w:b/>
          <w:bCs/>
        </w:rPr>
      </w:pPr>
      <w:r w:rsidRPr="00C730BF">
        <w:rPr>
          <w:b/>
          <w:bCs/>
        </w:rPr>
        <w:t>8. Model status and state transitions formally, not as uncontrolled string literals</w:t>
      </w:r>
    </w:p>
    <w:p w14:paraId="015160FA" w14:textId="77777777" w:rsidR="00C730BF" w:rsidRPr="00C730BF" w:rsidRDefault="00C730BF" w:rsidP="00C730BF">
      <w:r w:rsidRPr="00C730BF">
        <w:t>ATP integration pipelines are state machines. Status values such as batch state, header state, line state, load state, and import state should not be treated as open-text fields.</w:t>
      </w:r>
    </w:p>
    <w:p w14:paraId="2A0214A3" w14:textId="77777777" w:rsidR="00C730BF" w:rsidRPr="00C730BF" w:rsidRDefault="00C730BF" w:rsidP="00C730BF">
      <w:r w:rsidRPr="00C730BF">
        <w:t>The assessment shows several problems resulting from weak state design:</w:t>
      </w:r>
    </w:p>
    <w:p w14:paraId="2CDE8570" w14:textId="77777777" w:rsidR="00C730BF" w:rsidRPr="00C730BF" w:rsidRDefault="00C730BF" w:rsidP="00C730BF">
      <w:pPr>
        <w:numPr>
          <w:ilvl w:val="0"/>
          <w:numId w:val="9"/>
        </w:numPr>
      </w:pPr>
      <w:r w:rsidRPr="00C730BF">
        <w:t>free-form status strings with no enforcement,</w:t>
      </w:r>
    </w:p>
    <w:p w14:paraId="6FB1DEF5" w14:textId="77777777" w:rsidR="00C730BF" w:rsidRPr="00C730BF" w:rsidRDefault="00C730BF" w:rsidP="00C730BF">
      <w:pPr>
        <w:numPr>
          <w:ilvl w:val="0"/>
          <w:numId w:val="9"/>
        </w:numPr>
      </w:pPr>
      <w:r w:rsidRPr="00C730BF">
        <w:t>typographical inconsistencies between code branches,</w:t>
      </w:r>
    </w:p>
    <w:p w14:paraId="15C34738" w14:textId="77777777" w:rsidR="00C730BF" w:rsidRPr="00C730BF" w:rsidRDefault="00C730BF" w:rsidP="00C730BF">
      <w:pPr>
        <w:numPr>
          <w:ilvl w:val="0"/>
          <w:numId w:val="9"/>
        </w:numPr>
      </w:pPr>
      <w:r w:rsidRPr="00C730BF">
        <w:t>procedures that return success even when no row was transitioned,</w:t>
      </w:r>
    </w:p>
    <w:p w14:paraId="7F8FE1EB" w14:textId="77777777" w:rsidR="00C730BF" w:rsidRPr="00C730BF" w:rsidRDefault="00C730BF" w:rsidP="00C730BF">
      <w:pPr>
        <w:numPr>
          <w:ilvl w:val="0"/>
          <w:numId w:val="9"/>
        </w:numPr>
      </w:pPr>
      <w:r w:rsidRPr="00C730BF">
        <w:t>and hard-coded literals that differ between PO and PORCPT implementations.</w:t>
      </w:r>
    </w:p>
    <w:p w14:paraId="4DDAE583" w14:textId="77777777" w:rsidR="00C730BF" w:rsidRPr="00C730BF" w:rsidRDefault="00C730BF" w:rsidP="00C730BF">
      <w:r w:rsidRPr="00C730BF">
        <w:t>A robust ATP design should include:</w:t>
      </w:r>
    </w:p>
    <w:p w14:paraId="61A3B738" w14:textId="77777777" w:rsidR="00C730BF" w:rsidRPr="00C730BF" w:rsidRDefault="00C730BF" w:rsidP="00C730BF">
      <w:pPr>
        <w:numPr>
          <w:ilvl w:val="0"/>
          <w:numId w:val="10"/>
        </w:numPr>
      </w:pPr>
      <w:r w:rsidRPr="00C730BF">
        <w:t>a governed status model,</w:t>
      </w:r>
    </w:p>
    <w:p w14:paraId="60B8B702" w14:textId="77777777" w:rsidR="00C730BF" w:rsidRPr="00C730BF" w:rsidRDefault="00C730BF" w:rsidP="00C730BF">
      <w:pPr>
        <w:numPr>
          <w:ilvl w:val="0"/>
          <w:numId w:val="10"/>
        </w:numPr>
      </w:pPr>
      <w:r w:rsidRPr="00C730BF">
        <w:t>explicit allowed values,</w:t>
      </w:r>
    </w:p>
    <w:p w14:paraId="2951B580" w14:textId="77777777" w:rsidR="00C730BF" w:rsidRPr="00C730BF" w:rsidRDefault="00C730BF" w:rsidP="00C730BF">
      <w:pPr>
        <w:numPr>
          <w:ilvl w:val="0"/>
          <w:numId w:val="10"/>
        </w:numPr>
      </w:pPr>
      <w:r w:rsidRPr="00C730BF">
        <w:t>domain separation where different entities have different lifecycle codes,</w:t>
      </w:r>
    </w:p>
    <w:p w14:paraId="3EACA6F3" w14:textId="77777777" w:rsidR="00C730BF" w:rsidRPr="00C730BF" w:rsidRDefault="00C730BF" w:rsidP="00C730BF">
      <w:pPr>
        <w:numPr>
          <w:ilvl w:val="0"/>
          <w:numId w:val="10"/>
        </w:numPr>
      </w:pPr>
      <w:r w:rsidRPr="00C730BF">
        <w:t>and transition logic that validates both source state and target state.</w:t>
      </w:r>
    </w:p>
    <w:p w14:paraId="008D7BA4" w14:textId="77777777" w:rsidR="00C730BF" w:rsidRPr="00C730BF" w:rsidRDefault="00C730BF" w:rsidP="00C730BF">
      <w:r w:rsidRPr="00C730BF">
        <w:t xml:space="preserve">Just as importantly, status updates must validate </w:t>
      </w:r>
      <w:proofErr w:type="spellStart"/>
      <w:r w:rsidRPr="00C730BF">
        <w:t>rowcount</w:t>
      </w:r>
      <w:proofErr w:type="spellEnd"/>
      <w:r w:rsidRPr="00C730BF">
        <w:t xml:space="preserve">. </w:t>
      </w:r>
      <w:proofErr w:type="gramStart"/>
      <w:r w:rsidRPr="00C730BF">
        <w:t>A procedure</w:t>
      </w:r>
      <w:proofErr w:type="gramEnd"/>
      <w:r w:rsidRPr="00C730BF">
        <w:t xml:space="preserve"> should not report success if the intended row was not actually updated. Legal status transition and effective status transition are both important. This is essential to prevent “false success” conditions that leave the control-plane data inconsistent with actual process state.</w:t>
      </w:r>
    </w:p>
    <w:p w14:paraId="4ECD015E" w14:textId="77777777" w:rsidR="00C730BF" w:rsidRPr="00C730BF" w:rsidRDefault="00C730BF" w:rsidP="00C730BF">
      <w:r w:rsidRPr="00C730BF">
        <w:lastRenderedPageBreak/>
        <w:pict w14:anchorId="65F63928">
          <v:rect id="_x0000_i1154" style="width:0;height:1.5pt" o:hralign="center" o:hrstd="t" o:hr="t" fillcolor="#a0a0a0" stroked="f"/>
        </w:pict>
      </w:r>
    </w:p>
    <w:p w14:paraId="29BA553C" w14:textId="77777777" w:rsidR="00C730BF" w:rsidRPr="00C730BF" w:rsidRDefault="00C730BF" w:rsidP="00C730BF">
      <w:pPr>
        <w:rPr>
          <w:b/>
          <w:bCs/>
        </w:rPr>
      </w:pPr>
      <w:r w:rsidRPr="00C730BF">
        <w:rPr>
          <w:b/>
          <w:bCs/>
        </w:rPr>
        <w:t>9. Separate business data, process-control data, and extensibility data</w:t>
      </w:r>
    </w:p>
    <w:p w14:paraId="6C6494D1" w14:textId="77777777" w:rsidR="00C730BF" w:rsidRPr="00C730BF" w:rsidRDefault="00C730BF" w:rsidP="00C730BF">
      <w:r w:rsidRPr="00C730BF">
        <w:t>A recurring architectural weakness in the assessment is the misuse of generic ADDITIONALINFO columns to hold critical control information. In several cases, these fields carry essential semantics such as procurement BU, import ID, zip file name, ESS load request ID, and import request ID.</w:t>
      </w:r>
    </w:p>
    <w:p w14:paraId="69AE14B4" w14:textId="77777777" w:rsidR="00C730BF" w:rsidRPr="00C730BF" w:rsidRDefault="00C730BF" w:rsidP="00C730BF">
      <w:r w:rsidRPr="00C730BF">
        <w:t>This creates a serious traceability and maintainability problem. If a field is required for cleanup logic, request tracking, reconciliation, support joins, or process progression, it is not an extensibility field. It is a core process-control field and should be modeled explicitly.</w:t>
      </w:r>
    </w:p>
    <w:p w14:paraId="565D241E" w14:textId="77777777" w:rsidR="00C730BF" w:rsidRPr="00C730BF" w:rsidRDefault="00C730BF" w:rsidP="00C730BF">
      <w:r w:rsidRPr="00C730BF">
        <w:t>ATP design should clearly distinguish:</w:t>
      </w:r>
    </w:p>
    <w:p w14:paraId="4E3F6DDC" w14:textId="77777777" w:rsidR="00C730BF" w:rsidRPr="00C730BF" w:rsidRDefault="00C730BF" w:rsidP="00C730BF">
      <w:pPr>
        <w:numPr>
          <w:ilvl w:val="0"/>
          <w:numId w:val="11"/>
        </w:numPr>
      </w:pPr>
      <w:r w:rsidRPr="00C730BF">
        <w:rPr>
          <w:b/>
          <w:bCs/>
        </w:rPr>
        <w:t>business columns</w:t>
      </w:r>
      <w:r w:rsidRPr="00C730BF">
        <w:t>: business identifiers and business facts,</w:t>
      </w:r>
    </w:p>
    <w:p w14:paraId="72667E64" w14:textId="77777777" w:rsidR="00C730BF" w:rsidRPr="00C730BF" w:rsidRDefault="00C730BF" w:rsidP="00C730BF">
      <w:pPr>
        <w:numPr>
          <w:ilvl w:val="0"/>
          <w:numId w:val="11"/>
        </w:numPr>
      </w:pPr>
      <w:r w:rsidRPr="00C730BF">
        <w:rPr>
          <w:b/>
          <w:bCs/>
        </w:rPr>
        <w:t>process-control columns</w:t>
      </w:r>
      <w:r w:rsidRPr="00C730BF">
        <w:t>: batch IDs, request IDs, statuses, OIC instance IDs, timestamps,</w:t>
      </w:r>
    </w:p>
    <w:p w14:paraId="610BAAA0" w14:textId="77777777" w:rsidR="00C730BF" w:rsidRPr="00C730BF" w:rsidRDefault="00C730BF" w:rsidP="00C730BF">
      <w:pPr>
        <w:numPr>
          <w:ilvl w:val="0"/>
          <w:numId w:val="11"/>
        </w:numPr>
      </w:pPr>
      <w:r w:rsidRPr="00C730BF">
        <w:rPr>
          <w:b/>
          <w:bCs/>
        </w:rPr>
        <w:t>extensibility columns</w:t>
      </w:r>
      <w:r w:rsidRPr="00C730BF">
        <w:t>: only for truly optional or future attributes.</w:t>
      </w:r>
    </w:p>
    <w:p w14:paraId="179DB656" w14:textId="77777777" w:rsidR="00C730BF" w:rsidRPr="00C730BF" w:rsidRDefault="00C730BF" w:rsidP="00C730BF">
      <w:r w:rsidRPr="00C730BF">
        <w:t>If extensibility is genuinely needed, a governed JSON-based extension payload is a stronger design choice than multiple generic sparse columns. However, known operational semantics should always be promoted to named columns.</w:t>
      </w:r>
    </w:p>
    <w:p w14:paraId="1868BE89" w14:textId="77777777" w:rsidR="00C730BF" w:rsidRPr="00C730BF" w:rsidRDefault="00C730BF" w:rsidP="00C730BF">
      <w:r w:rsidRPr="00C730BF">
        <w:pict w14:anchorId="31FBA93F">
          <v:rect id="_x0000_i1155" style="width:0;height:1.5pt" o:hralign="center" o:hrstd="t" o:hr="t" fillcolor="#a0a0a0" stroked="f"/>
        </w:pict>
      </w:r>
    </w:p>
    <w:p w14:paraId="05625794" w14:textId="77777777" w:rsidR="00C730BF" w:rsidRPr="00C730BF" w:rsidRDefault="00C730BF" w:rsidP="00C730BF">
      <w:pPr>
        <w:rPr>
          <w:b/>
          <w:bCs/>
        </w:rPr>
      </w:pPr>
      <w:r w:rsidRPr="00C730BF">
        <w:rPr>
          <w:b/>
          <w:bCs/>
        </w:rPr>
        <w:t>10. Design for observability with milestone timestamps, not just row creation dates</w:t>
      </w:r>
    </w:p>
    <w:p w14:paraId="28C67905" w14:textId="77777777" w:rsidR="00C730BF" w:rsidRPr="00C730BF" w:rsidRDefault="00C730BF" w:rsidP="00C730BF">
      <w:r w:rsidRPr="00C730BF">
        <w:t xml:space="preserve">The assessment shows a lack of ATP-layer timestamps in several staging areas and insufficient lifecycle observability in snapshot tables. This makes it difficult to answer basic support questions such as when ATP received a record, when a batch advanced, when an Oracle import request was issued, or how long a record </w:t>
      </w:r>
      <w:proofErr w:type="gramStart"/>
      <w:r w:rsidRPr="00C730BF">
        <w:t>spent</w:t>
      </w:r>
      <w:proofErr w:type="gramEnd"/>
      <w:r w:rsidRPr="00C730BF">
        <w:t xml:space="preserve"> </w:t>
      </w:r>
      <w:proofErr w:type="gramStart"/>
      <w:r w:rsidRPr="00C730BF">
        <w:t>in a given</w:t>
      </w:r>
      <w:proofErr w:type="gramEnd"/>
      <w:r w:rsidRPr="00C730BF">
        <w:t xml:space="preserve"> stage.</w:t>
      </w:r>
    </w:p>
    <w:p w14:paraId="611D8DC1" w14:textId="77777777" w:rsidR="00C730BF" w:rsidRPr="00C730BF" w:rsidRDefault="00C730BF" w:rsidP="00C730BF">
      <w:r w:rsidRPr="00C730BF">
        <w:t>A production-grade ATP implementation should capture milestone timestamps such as:</w:t>
      </w:r>
    </w:p>
    <w:p w14:paraId="45D41641" w14:textId="77777777" w:rsidR="00C730BF" w:rsidRPr="00C730BF" w:rsidRDefault="00C730BF" w:rsidP="00C730BF">
      <w:pPr>
        <w:numPr>
          <w:ilvl w:val="0"/>
          <w:numId w:val="12"/>
        </w:numPr>
      </w:pPr>
      <w:r w:rsidRPr="00C730BF">
        <w:t>ATP arrival time,</w:t>
      </w:r>
    </w:p>
    <w:p w14:paraId="7466A017" w14:textId="77777777" w:rsidR="00C730BF" w:rsidRPr="00C730BF" w:rsidRDefault="00C730BF" w:rsidP="00C730BF">
      <w:pPr>
        <w:numPr>
          <w:ilvl w:val="0"/>
          <w:numId w:val="12"/>
        </w:numPr>
      </w:pPr>
      <w:r w:rsidRPr="00C730BF">
        <w:t>validation completion time,</w:t>
      </w:r>
    </w:p>
    <w:p w14:paraId="20188273" w14:textId="77777777" w:rsidR="00C730BF" w:rsidRPr="00C730BF" w:rsidRDefault="00C730BF" w:rsidP="00C730BF">
      <w:pPr>
        <w:numPr>
          <w:ilvl w:val="0"/>
          <w:numId w:val="12"/>
        </w:numPr>
      </w:pPr>
      <w:r w:rsidRPr="00C730BF">
        <w:t>staging completion time,</w:t>
      </w:r>
    </w:p>
    <w:p w14:paraId="6751456D" w14:textId="77777777" w:rsidR="00C730BF" w:rsidRPr="00C730BF" w:rsidRDefault="00C730BF" w:rsidP="00C730BF">
      <w:pPr>
        <w:numPr>
          <w:ilvl w:val="0"/>
          <w:numId w:val="12"/>
        </w:numPr>
      </w:pPr>
      <w:r w:rsidRPr="00C730BF">
        <w:t>file generation time,</w:t>
      </w:r>
    </w:p>
    <w:p w14:paraId="33E143A9" w14:textId="77777777" w:rsidR="00C730BF" w:rsidRPr="00C730BF" w:rsidRDefault="00C730BF" w:rsidP="00C730BF">
      <w:pPr>
        <w:numPr>
          <w:ilvl w:val="0"/>
          <w:numId w:val="12"/>
        </w:numPr>
      </w:pPr>
      <w:r w:rsidRPr="00C730BF">
        <w:t>file upload time,</w:t>
      </w:r>
    </w:p>
    <w:p w14:paraId="63ED74CC" w14:textId="77777777" w:rsidR="00C730BF" w:rsidRPr="00C730BF" w:rsidRDefault="00C730BF" w:rsidP="00C730BF">
      <w:pPr>
        <w:numPr>
          <w:ilvl w:val="0"/>
          <w:numId w:val="12"/>
        </w:numPr>
      </w:pPr>
      <w:r w:rsidRPr="00C730BF">
        <w:lastRenderedPageBreak/>
        <w:t>load request submission time,</w:t>
      </w:r>
    </w:p>
    <w:p w14:paraId="27A69E1D" w14:textId="77777777" w:rsidR="00C730BF" w:rsidRPr="00C730BF" w:rsidRDefault="00C730BF" w:rsidP="00C730BF">
      <w:pPr>
        <w:numPr>
          <w:ilvl w:val="0"/>
          <w:numId w:val="12"/>
        </w:numPr>
      </w:pPr>
      <w:r w:rsidRPr="00C730BF">
        <w:t>import request submission time,</w:t>
      </w:r>
    </w:p>
    <w:p w14:paraId="3E0C7682" w14:textId="77777777" w:rsidR="00C730BF" w:rsidRPr="00C730BF" w:rsidRDefault="00C730BF" w:rsidP="00C730BF">
      <w:pPr>
        <w:numPr>
          <w:ilvl w:val="0"/>
          <w:numId w:val="12"/>
        </w:numPr>
      </w:pPr>
      <w:r w:rsidRPr="00C730BF">
        <w:t>and post-import confirmation time.</w:t>
      </w:r>
    </w:p>
    <w:p w14:paraId="7F2B2700" w14:textId="77777777" w:rsidR="00C730BF" w:rsidRPr="00C730BF" w:rsidRDefault="00C730BF" w:rsidP="00C730BF">
      <w:r w:rsidRPr="00C730BF">
        <w:t>These timestamps enable latency analysis, stuck-batch detection, SLA reporting, replay analysis, and operational troubleshooting. A single generic creation timestamp is rarely sufficient for a multi-stage integration design.</w:t>
      </w:r>
    </w:p>
    <w:p w14:paraId="358419AC" w14:textId="77777777" w:rsidR="00C730BF" w:rsidRPr="00C730BF" w:rsidRDefault="00C730BF" w:rsidP="00C730BF">
      <w:r w:rsidRPr="00C730BF">
        <w:pict w14:anchorId="1E989714">
          <v:rect id="_x0000_i1156" style="width:0;height:1.5pt" o:hralign="center" o:hrstd="t" o:hr="t" fillcolor="#a0a0a0" stroked="f"/>
        </w:pict>
      </w:r>
    </w:p>
    <w:p w14:paraId="27D999E7" w14:textId="77777777" w:rsidR="00C730BF" w:rsidRPr="00C730BF" w:rsidRDefault="00C730BF" w:rsidP="00C730BF">
      <w:pPr>
        <w:rPr>
          <w:b/>
          <w:bCs/>
        </w:rPr>
      </w:pPr>
      <w:r w:rsidRPr="00C730BF">
        <w:rPr>
          <w:b/>
          <w:bCs/>
        </w:rPr>
        <w:t>11. Make authoritative current-state determination possible directly in SQL</w:t>
      </w:r>
    </w:p>
    <w:p w14:paraId="61F1F228" w14:textId="77777777" w:rsidR="00C730BF" w:rsidRPr="00C730BF" w:rsidRDefault="00C730BF" w:rsidP="00C730BF">
      <w:r w:rsidRPr="00C730BF">
        <w:t>Snapshot and history-style tables must be designed so that support teams can determine which row is current, which row is stale, and which row is authoritative. The assessment shows multiple cases where repeated runs can produce duplicate rows without clear lifecycle distinction or authoritative-current-row logic.</w:t>
      </w:r>
    </w:p>
    <w:p w14:paraId="19E3CE10" w14:textId="77777777" w:rsidR="00C730BF" w:rsidRPr="00C730BF" w:rsidRDefault="00C730BF" w:rsidP="00C730BF">
      <w:r w:rsidRPr="00C730BF">
        <w:t>This means ATP should provide a mechanism—structural or semantic—for identifying the current business truth. Depending on the design, that may be achieved through:</w:t>
      </w:r>
    </w:p>
    <w:p w14:paraId="5364F402" w14:textId="77777777" w:rsidR="00C730BF" w:rsidRPr="00C730BF" w:rsidRDefault="00C730BF" w:rsidP="00C730BF">
      <w:pPr>
        <w:numPr>
          <w:ilvl w:val="0"/>
          <w:numId w:val="13"/>
        </w:numPr>
      </w:pPr>
      <w:r w:rsidRPr="00C730BF">
        <w:t>current-row flags,</w:t>
      </w:r>
    </w:p>
    <w:p w14:paraId="62F1D368" w14:textId="77777777" w:rsidR="00C730BF" w:rsidRPr="00C730BF" w:rsidRDefault="00C730BF" w:rsidP="00C730BF">
      <w:pPr>
        <w:numPr>
          <w:ilvl w:val="0"/>
          <w:numId w:val="13"/>
        </w:numPr>
      </w:pPr>
      <w:r w:rsidRPr="00C730BF">
        <w:t>effective dating,</w:t>
      </w:r>
    </w:p>
    <w:p w14:paraId="72481F16" w14:textId="77777777" w:rsidR="00C730BF" w:rsidRPr="00C730BF" w:rsidRDefault="00C730BF" w:rsidP="00C730BF">
      <w:pPr>
        <w:numPr>
          <w:ilvl w:val="0"/>
          <w:numId w:val="13"/>
        </w:numPr>
      </w:pPr>
      <w:r w:rsidRPr="00C730BF">
        <w:t>version numbers,</w:t>
      </w:r>
    </w:p>
    <w:p w14:paraId="53DD74D2" w14:textId="77777777" w:rsidR="00C730BF" w:rsidRPr="00C730BF" w:rsidRDefault="00C730BF" w:rsidP="00C730BF">
      <w:pPr>
        <w:numPr>
          <w:ilvl w:val="0"/>
          <w:numId w:val="13"/>
        </w:numPr>
      </w:pPr>
      <w:r w:rsidRPr="00C730BF">
        <w:t>state columns,</w:t>
      </w:r>
    </w:p>
    <w:p w14:paraId="71D7706E" w14:textId="77777777" w:rsidR="00C730BF" w:rsidRPr="00C730BF" w:rsidRDefault="00C730BF" w:rsidP="00C730BF">
      <w:pPr>
        <w:numPr>
          <w:ilvl w:val="0"/>
          <w:numId w:val="13"/>
        </w:numPr>
      </w:pPr>
      <w:r w:rsidRPr="00C730BF">
        <w:t xml:space="preserve">uniqueness </w:t>
      </w:r>
      <w:proofErr w:type="gramStart"/>
      <w:r w:rsidRPr="00C730BF">
        <w:t>over active</w:t>
      </w:r>
      <w:proofErr w:type="gramEnd"/>
      <w:r w:rsidRPr="00C730BF">
        <w:t xml:space="preserve"> rows,</w:t>
      </w:r>
    </w:p>
    <w:p w14:paraId="71012B7C" w14:textId="77777777" w:rsidR="00C730BF" w:rsidRPr="00C730BF" w:rsidRDefault="00C730BF" w:rsidP="00C730BF">
      <w:pPr>
        <w:numPr>
          <w:ilvl w:val="0"/>
          <w:numId w:val="13"/>
        </w:numPr>
      </w:pPr>
      <w:r w:rsidRPr="00C730BF">
        <w:t>or explicit stale/superseded markers.</w:t>
      </w:r>
    </w:p>
    <w:p w14:paraId="54EE3A3E" w14:textId="77777777" w:rsidR="00C730BF" w:rsidRPr="00C730BF" w:rsidRDefault="00C730BF" w:rsidP="00C730BF">
      <w:r w:rsidRPr="00C730BF">
        <w:t>If a support analyst cannot determine the current row through a straightforward SQL query, the design is incomplete for operational use.</w:t>
      </w:r>
    </w:p>
    <w:p w14:paraId="523D42A6" w14:textId="77777777" w:rsidR="00C730BF" w:rsidRPr="00C730BF" w:rsidRDefault="00C730BF" w:rsidP="00C730BF">
      <w:r w:rsidRPr="00C730BF">
        <w:pict w14:anchorId="5EE88ECA">
          <v:rect id="_x0000_i1157" style="width:0;height:1.5pt" o:hralign="center" o:hrstd="t" o:hr="t" fillcolor="#a0a0a0" stroked="f"/>
        </w:pict>
      </w:r>
    </w:p>
    <w:p w14:paraId="1332CA40" w14:textId="77777777" w:rsidR="00C730BF" w:rsidRPr="00C730BF" w:rsidRDefault="00C730BF" w:rsidP="00C730BF">
      <w:pPr>
        <w:rPr>
          <w:b/>
          <w:bCs/>
        </w:rPr>
      </w:pPr>
      <w:r w:rsidRPr="00C730BF">
        <w:rPr>
          <w:b/>
          <w:bCs/>
        </w:rPr>
        <w:t>12. Build retry-safe transaction boundaries across OIC and PL/SQL</w:t>
      </w:r>
    </w:p>
    <w:p w14:paraId="1E85BAF7" w14:textId="77777777" w:rsidR="00C730BF" w:rsidRPr="00C730BF" w:rsidRDefault="00C730BF" w:rsidP="00C730BF">
      <w:r w:rsidRPr="00C730BF">
        <w:t xml:space="preserve">Transaction design must be considered jointly with retry design. The assessment shows inconsistent transaction behavior between packages: some flows defer commits to OIC, others contain scattered commits inside PL/SQL, and rollbacks may occur without </w:t>
      </w:r>
      <w:proofErr w:type="spellStart"/>
      <w:r w:rsidRPr="00C730BF">
        <w:t>savepoints</w:t>
      </w:r>
      <w:proofErr w:type="spellEnd"/>
      <w:r w:rsidRPr="00C730BF">
        <w:t>.</w:t>
      </w:r>
    </w:p>
    <w:p w14:paraId="0B6254AC" w14:textId="77777777" w:rsidR="00C730BF" w:rsidRPr="00C730BF" w:rsidRDefault="00C730BF" w:rsidP="00C730BF">
      <w:r w:rsidRPr="00C730BF">
        <w:lastRenderedPageBreak/>
        <w:t>This is not only a transactional purity issue; it is a replay safety issue. If PL/SQL commits partial work and OIC retries because the caller cannot determine whether the call completed, duplicate or partially overlapping outcomes can occur.</w:t>
      </w:r>
    </w:p>
    <w:p w14:paraId="56571423" w14:textId="77777777" w:rsidR="00C730BF" w:rsidRPr="00C730BF" w:rsidRDefault="00C730BF" w:rsidP="00C730BF">
      <w:r w:rsidRPr="00C730BF">
        <w:t>ATP transaction design should therefore define:</w:t>
      </w:r>
    </w:p>
    <w:p w14:paraId="65AC71C2" w14:textId="77777777" w:rsidR="00C730BF" w:rsidRPr="00C730BF" w:rsidRDefault="00C730BF" w:rsidP="00C730BF">
      <w:pPr>
        <w:numPr>
          <w:ilvl w:val="0"/>
          <w:numId w:val="14"/>
        </w:numPr>
      </w:pPr>
      <w:r w:rsidRPr="00C730BF">
        <w:t>who owns commit and rollback responsibility,</w:t>
      </w:r>
    </w:p>
    <w:p w14:paraId="239500A9" w14:textId="77777777" w:rsidR="00C730BF" w:rsidRPr="00C730BF" w:rsidRDefault="00C730BF" w:rsidP="00C730BF">
      <w:pPr>
        <w:numPr>
          <w:ilvl w:val="0"/>
          <w:numId w:val="14"/>
        </w:numPr>
      </w:pPr>
      <w:r w:rsidRPr="00C730BF">
        <w:t>whether procedures are atomic or stepwise,</w:t>
      </w:r>
    </w:p>
    <w:p w14:paraId="26471D6D" w14:textId="77777777" w:rsidR="00C730BF" w:rsidRPr="00C730BF" w:rsidRDefault="00C730BF" w:rsidP="00C730BF">
      <w:pPr>
        <w:numPr>
          <w:ilvl w:val="0"/>
          <w:numId w:val="14"/>
        </w:numPr>
      </w:pPr>
      <w:r w:rsidRPr="00C730BF">
        <w:t>whether intermediate commits are permitted,</w:t>
      </w:r>
    </w:p>
    <w:p w14:paraId="1140A3C2" w14:textId="77777777" w:rsidR="00C730BF" w:rsidRPr="00C730BF" w:rsidRDefault="00C730BF" w:rsidP="00C730BF">
      <w:pPr>
        <w:numPr>
          <w:ilvl w:val="0"/>
          <w:numId w:val="14"/>
        </w:numPr>
      </w:pPr>
      <w:r w:rsidRPr="00C730BF">
        <w:t>what retry semantics apply,</w:t>
      </w:r>
    </w:p>
    <w:p w14:paraId="77D7160D" w14:textId="77777777" w:rsidR="00C730BF" w:rsidRPr="00C730BF" w:rsidRDefault="00C730BF" w:rsidP="00C730BF">
      <w:pPr>
        <w:numPr>
          <w:ilvl w:val="0"/>
          <w:numId w:val="14"/>
        </w:numPr>
      </w:pPr>
      <w:r w:rsidRPr="00C730BF">
        <w:t xml:space="preserve">whether </w:t>
      </w:r>
      <w:proofErr w:type="spellStart"/>
      <w:r w:rsidRPr="00C730BF">
        <w:t>savepoints</w:t>
      </w:r>
      <w:proofErr w:type="spellEnd"/>
      <w:r w:rsidRPr="00C730BF">
        <w:t xml:space="preserve"> are required,</w:t>
      </w:r>
    </w:p>
    <w:p w14:paraId="1175E2FE" w14:textId="77777777" w:rsidR="00C730BF" w:rsidRPr="00C730BF" w:rsidRDefault="00C730BF" w:rsidP="00C730BF">
      <w:pPr>
        <w:numPr>
          <w:ilvl w:val="0"/>
          <w:numId w:val="14"/>
        </w:numPr>
      </w:pPr>
      <w:r w:rsidRPr="00C730BF">
        <w:t>and how partial failure is represented in state.</w:t>
      </w:r>
    </w:p>
    <w:p w14:paraId="7291DDE5" w14:textId="77777777" w:rsidR="00C730BF" w:rsidRPr="00C730BF" w:rsidRDefault="00C730BF" w:rsidP="00C730BF">
      <w:r w:rsidRPr="00C730BF">
        <w:t>Without a consistent retry-safe transaction model, reconciliation becomes difficult and support outcomes become unpredictable.</w:t>
      </w:r>
    </w:p>
    <w:p w14:paraId="60FAA029" w14:textId="77777777" w:rsidR="00C730BF" w:rsidRPr="00C730BF" w:rsidRDefault="00C730BF" w:rsidP="00C730BF">
      <w:r w:rsidRPr="00C730BF">
        <w:pict w14:anchorId="1ABAC1E3">
          <v:rect id="_x0000_i1158" style="width:0;height:1.5pt" o:hralign="center" o:hrstd="t" o:hr="t" fillcolor="#a0a0a0" stroked="f"/>
        </w:pict>
      </w:r>
    </w:p>
    <w:p w14:paraId="09DF3C69" w14:textId="77777777" w:rsidR="00C730BF" w:rsidRPr="00C730BF" w:rsidRDefault="00C730BF" w:rsidP="00C730BF">
      <w:pPr>
        <w:rPr>
          <w:b/>
          <w:bCs/>
        </w:rPr>
      </w:pPr>
      <w:r w:rsidRPr="00C730BF">
        <w:rPr>
          <w:b/>
          <w:bCs/>
        </w:rPr>
        <w:t>13. Design the physical model for real support and processing patterns</w:t>
      </w:r>
    </w:p>
    <w:p w14:paraId="541D30C1" w14:textId="77777777" w:rsidR="00C730BF" w:rsidRPr="00C730BF" w:rsidRDefault="00C730BF" w:rsidP="00C730BF">
      <w:r w:rsidRPr="00C730BF">
        <w:t>The physical database design must reflect actual ATP usage patterns, not only nominal entity modeling. The assessment shows both under-indexing and over-indexing, along with sequence definitions that are not clearly optimized for concurrent OIC load.</w:t>
      </w:r>
    </w:p>
    <w:p w14:paraId="7EE4472F" w14:textId="77777777" w:rsidR="00C730BF" w:rsidRPr="00C730BF" w:rsidRDefault="00C730BF" w:rsidP="00C730BF">
      <w:r w:rsidRPr="00C730BF">
        <w:t>Key physical design considerations include:</w:t>
      </w:r>
    </w:p>
    <w:p w14:paraId="168BC592" w14:textId="77777777" w:rsidR="00C730BF" w:rsidRPr="00C730BF" w:rsidRDefault="00C730BF" w:rsidP="00C730BF">
      <w:pPr>
        <w:numPr>
          <w:ilvl w:val="0"/>
          <w:numId w:val="15"/>
        </w:numPr>
      </w:pPr>
      <w:r w:rsidRPr="00C730BF">
        <w:t xml:space="preserve">explicit sequence </w:t>
      </w:r>
      <w:proofErr w:type="gramStart"/>
      <w:r w:rsidRPr="00C730BF">
        <w:t>caching</w:t>
      </w:r>
      <w:proofErr w:type="gramEnd"/>
      <w:r w:rsidRPr="00C730BF">
        <w:t xml:space="preserve"> appropriate to throughput needs,</w:t>
      </w:r>
    </w:p>
    <w:p w14:paraId="0B27304F" w14:textId="77777777" w:rsidR="00C730BF" w:rsidRPr="00C730BF" w:rsidRDefault="00C730BF" w:rsidP="00C730BF">
      <w:pPr>
        <w:numPr>
          <w:ilvl w:val="0"/>
          <w:numId w:val="15"/>
        </w:numPr>
      </w:pPr>
      <w:r w:rsidRPr="00C730BF">
        <w:t>explicit sequence ordering choices where clarity is needed,</w:t>
      </w:r>
    </w:p>
    <w:p w14:paraId="7974F800" w14:textId="77777777" w:rsidR="00C730BF" w:rsidRPr="00C730BF" w:rsidRDefault="00C730BF" w:rsidP="00C730BF">
      <w:pPr>
        <w:numPr>
          <w:ilvl w:val="0"/>
          <w:numId w:val="15"/>
        </w:numPr>
      </w:pPr>
      <w:r w:rsidRPr="00C730BF">
        <w:t xml:space="preserve">composite indexes aligned to real </w:t>
      </w:r>
      <w:proofErr w:type="gramStart"/>
      <w:r w:rsidRPr="00C730BF">
        <w:t>join</w:t>
      </w:r>
      <w:proofErr w:type="gramEnd"/>
      <w:r w:rsidRPr="00C730BF">
        <w:t xml:space="preserve"> and filter patterns,</w:t>
      </w:r>
    </w:p>
    <w:p w14:paraId="175B05C6" w14:textId="77777777" w:rsidR="00C730BF" w:rsidRPr="00C730BF" w:rsidRDefault="00C730BF" w:rsidP="00C730BF">
      <w:pPr>
        <w:numPr>
          <w:ilvl w:val="0"/>
          <w:numId w:val="15"/>
        </w:numPr>
      </w:pPr>
      <w:r w:rsidRPr="00C730BF">
        <w:t>avoidance of overly wide key components,</w:t>
      </w:r>
    </w:p>
    <w:p w14:paraId="19F93474" w14:textId="77777777" w:rsidR="00C730BF" w:rsidRPr="00C730BF" w:rsidRDefault="00C730BF" w:rsidP="00C730BF">
      <w:pPr>
        <w:numPr>
          <w:ilvl w:val="0"/>
          <w:numId w:val="15"/>
        </w:numPr>
      </w:pPr>
      <w:r w:rsidRPr="00C730BF">
        <w:t>and elimination of indexes with no operational value.</w:t>
      </w:r>
    </w:p>
    <w:p w14:paraId="085E1079" w14:textId="77777777" w:rsidR="00C730BF" w:rsidRPr="00C730BF" w:rsidRDefault="00C730BF" w:rsidP="00C730BF">
      <w:r w:rsidRPr="00C730BF">
        <w:t>Indexes should support actual use cases such as:</w:t>
      </w:r>
    </w:p>
    <w:p w14:paraId="1BAAACA1" w14:textId="77777777" w:rsidR="00C730BF" w:rsidRPr="00C730BF" w:rsidRDefault="00C730BF" w:rsidP="00C730BF">
      <w:pPr>
        <w:numPr>
          <w:ilvl w:val="0"/>
          <w:numId w:val="16"/>
        </w:numPr>
      </w:pPr>
      <w:r w:rsidRPr="00C730BF">
        <w:t>tracing a batch across stages,</w:t>
      </w:r>
    </w:p>
    <w:p w14:paraId="7DAD5894" w14:textId="77777777" w:rsidR="00C730BF" w:rsidRPr="00C730BF" w:rsidRDefault="00C730BF" w:rsidP="00C730BF">
      <w:pPr>
        <w:numPr>
          <w:ilvl w:val="0"/>
          <w:numId w:val="16"/>
        </w:numPr>
      </w:pPr>
      <w:r w:rsidRPr="00C730BF">
        <w:t>joining source rows to interface rows,</w:t>
      </w:r>
    </w:p>
    <w:p w14:paraId="7E2C1987" w14:textId="77777777" w:rsidR="00C730BF" w:rsidRPr="00C730BF" w:rsidRDefault="00C730BF" w:rsidP="00C730BF">
      <w:pPr>
        <w:numPr>
          <w:ilvl w:val="0"/>
          <w:numId w:val="16"/>
        </w:numPr>
      </w:pPr>
      <w:r w:rsidRPr="00C730BF">
        <w:t xml:space="preserve">finding </w:t>
      </w:r>
      <w:proofErr w:type="gramStart"/>
      <w:r w:rsidRPr="00C730BF">
        <w:t>current status</w:t>
      </w:r>
      <w:proofErr w:type="gramEnd"/>
      <w:r w:rsidRPr="00C730BF">
        <w:t xml:space="preserve"> by business key,</w:t>
      </w:r>
    </w:p>
    <w:p w14:paraId="7CDC424E" w14:textId="77777777" w:rsidR="00C730BF" w:rsidRPr="00C730BF" w:rsidRDefault="00C730BF" w:rsidP="00C730BF">
      <w:pPr>
        <w:numPr>
          <w:ilvl w:val="0"/>
          <w:numId w:val="16"/>
        </w:numPr>
      </w:pPr>
      <w:r w:rsidRPr="00C730BF">
        <w:lastRenderedPageBreak/>
        <w:t>reconciling Oracle response to source intake,</w:t>
      </w:r>
    </w:p>
    <w:p w14:paraId="28E8AAB1" w14:textId="77777777" w:rsidR="00C730BF" w:rsidRPr="00C730BF" w:rsidRDefault="00C730BF" w:rsidP="00C730BF">
      <w:pPr>
        <w:numPr>
          <w:ilvl w:val="0"/>
          <w:numId w:val="16"/>
        </w:numPr>
      </w:pPr>
      <w:r w:rsidRPr="00C730BF">
        <w:t xml:space="preserve">and diagnosing failures by </w:t>
      </w:r>
      <w:proofErr w:type="gramStart"/>
      <w:r w:rsidRPr="00C730BF">
        <w:t>request</w:t>
      </w:r>
      <w:proofErr w:type="gramEnd"/>
      <w:r w:rsidRPr="00C730BF">
        <w:t xml:space="preserve"> ID or import key.</w:t>
      </w:r>
    </w:p>
    <w:p w14:paraId="00E901A0" w14:textId="77777777" w:rsidR="00C730BF" w:rsidRPr="00C730BF" w:rsidRDefault="00C730BF" w:rsidP="00C730BF">
      <w:r w:rsidRPr="00C730BF">
        <w:t>At the same time, excessive single-column indexing on low-value or multi-segment data can create unnecessary DML overhead without materially helping support queries. Physical design should therefore be workload-driven and reviewed from both integration and support perspectives.</w:t>
      </w:r>
    </w:p>
    <w:p w14:paraId="05F008E2" w14:textId="77777777" w:rsidR="00C730BF" w:rsidRPr="00C730BF" w:rsidRDefault="00C730BF" w:rsidP="00C730BF">
      <w:r w:rsidRPr="00C730BF">
        <w:pict w14:anchorId="09ACE787">
          <v:rect id="_x0000_i1159" style="width:0;height:1.5pt" o:hralign="center" o:hrstd="t" o:hr="t" fillcolor="#a0a0a0" stroked="f"/>
        </w:pict>
      </w:r>
    </w:p>
    <w:p w14:paraId="64916A97" w14:textId="77777777" w:rsidR="00C730BF" w:rsidRPr="00C730BF" w:rsidRDefault="00C730BF" w:rsidP="00C730BF">
      <w:pPr>
        <w:rPr>
          <w:b/>
          <w:bCs/>
        </w:rPr>
      </w:pPr>
      <w:r w:rsidRPr="00C730BF">
        <w:rPr>
          <w:b/>
          <w:bCs/>
        </w:rPr>
        <w:t>14. Preserve architectural symmetry across parallel integration patterns</w:t>
      </w:r>
    </w:p>
    <w:p w14:paraId="39B319CD" w14:textId="77777777" w:rsidR="00C730BF" w:rsidRPr="00C730BF" w:rsidRDefault="00C730BF" w:rsidP="00C730BF">
      <w:r w:rsidRPr="00C730BF">
        <w:t xml:space="preserve">Where two integration families solve the same class of </w:t>
      </w:r>
      <w:proofErr w:type="gramStart"/>
      <w:r w:rsidRPr="00C730BF">
        <w:t>problem</w:t>
      </w:r>
      <w:proofErr w:type="gramEnd"/>
      <w:r w:rsidRPr="00C730BF">
        <w:t>, they should follow the same design standard unless a documented business reason justifies divergence. The assessment shows asymmetry between PO and PORCPT implementations in areas such as:</w:t>
      </w:r>
    </w:p>
    <w:p w14:paraId="26F19A20" w14:textId="77777777" w:rsidR="00C730BF" w:rsidRPr="00C730BF" w:rsidRDefault="00C730BF" w:rsidP="00C730BF">
      <w:pPr>
        <w:numPr>
          <w:ilvl w:val="0"/>
          <w:numId w:val="17"/>
        </w:numPr>
      </w:pPr>
      <w:r w:rsidRPr="00C730BF">
        <w:t>primary key enforcement,</w:t>
      </w:r>
    </w:p>
    <w:p w14:paraId="1DB29080" w14:textId="77777777" w:rsidR="00C730BF" w:rsidRPr="00C730BF" w:rsidRDefault="00C730BF" w:rsidP="00C730BF">
      <w:pPr>
        <w:numPr>
          <w:ilvl w:val="0"/>
          <w:numId w:val="17"/>
        </w:numPr>
      </w:pPr>
      <w:r w:rsidRPr="00C730BF">
        <w:t>type support,</w:t>
      </w:r>
    </w:p>
    <w:p w14:paraId="665E2DED" w14:textId="77777777" w:rsidR="00C730BF" w:rsidRPr="00C730BF" w:rsidRDefault="00C730BF" w:rsidP="00C730BF">
      <w:pPr>
        <w:numPr>
          <w:ilvl w:val="0"/>
          <w:numId w:val="17"/>
        </w:numPr>
      </w:pPr>
      <w:r w:rsidRPr="00C730BF">
        <w:t>indexing strategy,</w:t>
      </w:r>
    </w:p>
    <w:p w14:paraId="4614DC7A" w14:textId="77777777" w:rsidR="00C730BF" w:rsidRPr="00C730BF" w:rsidRDefault="00C730BF" w:rsidP="00C730BF">
      <w:pPr>
        <w:numPr>
          <w:ilvl w:val="0"/>
          <w:numId w:val="17"/>
        </w:numPr>
      </w:pPr>
      <w:r w:rsidRPr="00C730BF">
        <w:t>status handling,</w:t>
      </w:r>
    </w:p>
    <w:p w14:paraId="295B0612" w14:textId="77777777" w:rsidR="00C730BF" w:rsidRPr="00C730BF" w:rsidRDefault="00C730BF" w:rsidP="00C730BF">
      <w:pPr>
        <w:numPr>
          <w:ilvl w:val="0"/>
          <w:numId w:val="17"/>
        </w:numPr>
      </w:pPr>
      <w:r w:rsidRPr="00C730BF">
        <w:t>and transaction semantics.</w:t>
      </w:r>
    </w:p>
    <w:p w14:paraId="24049A89" w14:textId="77777777" w:rsidR="00C730BF" w:rsidRPr="00C730BF" w:rsidRDefault="00C730BF" w:rsidP="00C730BF">
      <w:r w:rsidRPr="00C730BF">
        <w:t>Unnecessary asymmetry increases support complexity and encourages incorrect assumptions by developers. It also makes shared diagnostics, reusable SQL, and consistent release practices harder to implement.</w:t>
      </w:r>
    </w:p>
    <w:p w14:paraId="5FA943DF" w14:textId="77777777" w:rsidR="00C730BF" w:rsidRPr="00C730BF" w:rsidRDefault="00C730BF" w:rsidP="00C730BF">
      <w:r w:rsidRPr="00C730BF">
        <w:t>For ATP custom design, PO and PORCPT patterns should therefore be intentionally aligned in:</w:t>
      </w:r>
    </w:p>
    <w:p w14:paraId="7B9DB480" w14:textId="77777777" w:rsidR="00C730BF" w:rsidRPr="00C730BF" w:rsidRDefault="00C730BF" w:rsidP="00C730BF">
      <w:pPr>
        <w:numPr>
          <w:ilvl w:val="0"/>
          <w:numId w:val="18"/>
        </w:numPr>
      </w:pPr>
      <w:r w:rsidRPr="00C730BF">
        <w:t>batch-control modeling,</w:t>
      </w:r>
    </w:p>
    <w:p w14:paraId="6C228151" w14:textId="77777777" w:rsidR="00C730BF" w:rsidRPr="00C730BF" w:rsidRDefault="00C730BF" w:rsidP="00C730BF">
      <w:pPr>
        <w:numPr>
          <w:ilvl w:val="0"/>
          <w:numId w:val="18"/>
        </w:numPr>
      </w:pPr>
      <w:r w:rsidRPr="00C730BF">
        <w:t>key strategy,</w:t>
      </w:r>
    </w:p>
    <w:p w14:paraId="02C7F325" w14:textId="77777777" w:rsidR="00C730BF" w:rsidRPr="00C730BF" w:rsidRDefault="00C730BF" w:rsidP="00C730BF">
      <w:pPr>
        <w:numPr>
          <w:ilvl w:val="0"/>
          <w:numId w:val="18"/>
        </w:numPr>
      </w:pPr>
      <w:r w:rsidRPr="00C730BF">
        <w:t>lifecycle-state design,</w:t>
      </w:r>
    </w:p>
    <w:p w14:paraId="4BC78983" w14:textId="77777777" w:rsidR="00C730BF" w:rsidRPr="00C730BF" w:rsidRDefault="00C730BF" w:rsidP="00C730BF">
      <w:pPr>
        <w:numPr>
          <w:ilvl w:val="0"/>
          <w:numId w:val="18"/>
        </w:numPr>
      </w:pPr>
      <w:r w:rsidRPr="00C730BF">
        <w:t>request ID handling,</w:t>
      </w:r>
    </w:p>
    <w:p w14:paraId="40F353D7" w14:textId="77777777" w:rsidR="00C730BF" w:rsidRPr="00C730BF" w:rsidRDefault="00C730BF" w:rsidP="00C730BF">
      <w:pPr>
        <w:numPr>
          <w:ilvl w:val="0"/>
          <w:numId w:val="18"/>
        </w:numPr>
      </w:pPr>
      <w:r w:rsidRPr="00C730BF">
        <w:t>indexing standards,</w:t>
      </w:r>
    </w:p>
    <w:p w14:paraId="51E42324" w14:textId="77777777" w:rsidR="00C730BF" w:rsidRPr="00C730BF" w:rsidRDefault="00C730BF" w:rsidP="00C730BF">
      <w:pPr>
        <w:numPr>
          <w:ilvl w:val="0"/>
          <w:numId w:val="18"/>
        </w:numPr>
      </w:pPr>
      <w:r w:rsidRPr="00C730BF">
        <w:t>and transaction behavior.</w:t>
      </w:r>
    </w:p>
    <w:p w14:paraId="3824F338" w14:textId="77777777" w:rsidR="00C730BF" w:rsidRPr="00C730BF" w:rsidRDefault="00C730BF" w:rsidP="00C730BF">
      <w:r w:rsidRPr="00C730BF">
        <w:lastRenderedPageBreak/>
        <w:t>Where asymmetry is necessary, it should be documented as a business-driven exception, not left as accidental technical drift.</w:t>
      </w:r>
    </w:p>
    <w:p w14:paraId="7C938EB2" w14:textId="77777777" w:rsidR="00C730BF" w:rsidRPr="00C730BF" w:rsidRDefault="00C730BF" w:rsidP="00C730BF">
      <w:r w:rsidRPr="00C730BF">
        <w:pict w14:anchorId="493AD326">
          <v:rect id="_x0000_i1160" style="width:0;height:1.5pt" o:hralign="center" o:hrstd="t" o:hr="t" fillcolor="#a0a0a0" stroked="f"/>
        </w:pict>
      </w:r>
    </w:p>
    <w:p w14:paraId="43D63D52" w14:textId="77777777" w:rsidR="00C730BF" w:rsidRPr="00C730BF" w:rsidRDefault="00C730BF" w:rsidP="00C730BF">
      <w:pPr>
        <w:rPr>
          <w:b/>
          <w:bCs/>
        </w:rPr>
      </w:pPr>
      <w:r w:rsidRPr="00C730BF">
        <w:rPr>
          <w:b/>
          <w:bCs/>
        </w:rPr>
        <w:t>15. Treat tables, types, and PL/SQL contracts as a single deployable design surface</w:t>
      </w:r>
    </w:p>
    <w:p w14:paraId="0CFB59F8" w14:textId="77777777" w:rsidR="00C730BF" w:rsidRPr="00C730BF" w:rsidRDefault="00C730BF" w:rsidP="00C730BF">
      <w:r w:rsidRPr="00C730BF">
        <w:t>The assessment makes clear that table columns, Oracle object types, PL/SQL record structures, and package logic are tightly coupled. A change in one layer often requires coordinated changes in the others.</w:t>
      </w:r>
    </w:p>
    <w:p w14:paraId="21B73724" w14:textId="77777777" w:rsidR="00C730BF" w:rsidRPr="00C730BF" w:rsidRDefault="00C730BF" w:rsidP="00C730BF">
      <w:r w:rsidRPr="00C730BF">
        <w:t>This is especially important where:</w:t>
      </w:r>
    </w:p>
    <w:p w14:paraId="0CCB34D3" w14:textId="77777777" w:rsidR="00C730BF" w:rsidRPr="00C730BF" w:rsidRDefault="00C730BF" w:rsidP="00C730BF">
      <w:pPr>
        <w:numPr>
          <w:ilvl w:val="0"/>
          <w:numId w:val="19"/>
        </w:numPr>
      </w:pPr>
      <w:r w:rsidRPr="00C730BF">
        <w:t>types mirror tables,</w:t>
      </w:r>
    </w:p>
    <w:p w14:paraId="6AB646D6" w14:textId="77777777" w:rsidR="00C730BF" w:rsidRPr="00C730BF" w:rsidRDefault="00C730BF" w:rsidP="00C730BF">
      <w:pPr>
        <w:numPr>
          <w:ilvl w:val="0"/>
          <w:numId w:val="19"/>
        </w:numPr>
      </w:pPr>
      <w:r w:rsidRPr="00C730BF">
        <w:t>package-private records use %TYPE,</w:t>
      </w:r>
    </w:p>
    <w:p w14:paraId="6DC864D1" w14:textId="77777777" w:rsidR="00C730BF" w:rsidRPr="00C730BF" w:rsidRDefault="00C730BF" w:rsidP="00C730BF">
      <w:pPr>
        <w:numPr>
          <w:ilvl w:val="0"/>
          <w:numId w:val="19"/>
        </w:numPr>
      </w:pPr>
      <w:r w:rsidRPr="00C730BF">
        <w:t>naming defects are propagated across structures,</w:t>
      </w:r>
    </w:p>
    <w:p w14:paraId="3BD0A767" w14:textId="77777777" w:rsidR="00C730BF" w:rsidRPr="00C730BF" w:rsidRDefault="00C730BF" w:rsidP="00C730BF">
      <w:pPr>
        <w:numPr>
          <w:ilvl w:val="0"/>
          <w:numId w:val="19"/>
        </w:numPr>
      </w:pPr>
      <w:r w:rsidRPr="00C730BF">
        <w:t>and nested type hierarchies create dependency chains.</w:t>
      </w:r>
    </w:p>
    <w:p w14:paraId="4EB2EF76" w14:textId="77777777" w:rsidR="00C730BF" w:rsidRPr="00C730BF" w:rsidRDefault="00C730BF" w:rsidP="00C730BF">
      <w:r w:rsidRPr="00C730BF">
        <w:t>Developers should not treat table DDL, type DDL, and package body changes as independent workstreams. Each change should be reviewed for downstream dependency on:</w:t>
      </w:r>
    </w:p>
    <w:p w14:paraId="419961ED" w14:textId="77777777" w:rsidR="00C730BF" w:rsidRPr="00C730BF" w:rsidRDefault="00C730BF" w:rsidP="00C730BF">
      <w:pPr>
        <w:numPr>
          <w:ilvl w:val="0"/>
          <w:numId w:val="20"/>
        </w:numPr>
      </w:pPr>
      <w:r w:rsidRPr="00C730BF">
        <w:t>object types,</w:t>
      </w:r>
    </w:p>
    <w:p w14:paraId="344E95B1" w14:textId="77777777" w:rsidR="00C730BF" w:rsidRPr="00C730BF" w:rsidRDefault="00C730BF" w:rsidP="00C730BF">
      <w:pPr>
        <w:numPr>
          <w:ilvl w:val="0"/>
          <w:numId w:val="20"/>
        </w:numPr>
      </w:pPr>
      <w:r w:rsidRPr="00C730BF">
        <w:t>package specifications,</w:t>
      </w:r>
    </w:p>
    <w:p w14:paraId="45D183EA" w14:textId="77777777" w:rsidR="00C730BF" w:rsidRPr="00C730BF" w:rsidRDefault="00C730BF" w:rsidP="00C730BF">
      <w:pPr>
        <w:numPr>
          <w:ilvl w:val="0"/>
          <w:numId w:val="20"/>
        </w:numPr>
      </w:pPr>
      <w:r w:rsidRPr="00C730BF">
        <w:t>package bodies,</w:t>
      </w:r>
    </w:p>
    <w:p w14:paraId="11BE6EF8" w14:textId="77777777" w:rsidR="00C730BF" w:rsidRPr="00C730BF" w:rsidRDefault="00C730BF" w:rsidP="00C730BF">
      <w:pPr>
        <w:numPr>
          <w:ilvl w:val="0"/>
          <w:numId w:val="20"/>
        </w:numPr>
      </w:pPr>
      <w:r w:rsidRPr="00C730BF">
        <w:t>OIC mappings,</w:t>
      </w:r>
    </w:p>
    <w:p w14:paraId="51B3D418" w14:textId="77777777" w:rsidR="00C730BF" w:rsidRPr="00C730BF" w:rsidRDefault="00C730BF" w:rsidP="00C730BF">
      <w:pPr>
        <w:numPr>
          <w:ilvl w:val="0"/>
          <w:numId w:val="20"/>
        </w:numPr>
      </w:pPr>
      <w:r w:rsidRPr="00C730BF">
        <w:t>deployment scripts,</w:t>
      </w:r>
    </w:p>
    <w:p w14:paraId="7ADC78CD" w14:textId="77777777" w:rsidR="00C730BF" w:rsidRPr="00C730BF" w:rsidRDefault="00C730BF" w:rsidP="00C730BF">
      <w:pPr>
        <w:numPr>
          <w:ilvl w:val="0"/>
          <w:numId w:val="20"/>
        </w:numPr>
      </w:pPr>
      <w:r w:rsidRPr="00C730BF">
        <w:t>and support SQL.</w:t>
      </w:r>
    </w:p>
    <w:p w14:paraId="771359BD" w14:textId="77777777" w:rsidR="00C730BF" w:rsidRPr="00C730BF" w:rsidRDefault="00C730BF" w:rsidP="00C730BF">
      <w:r w:rsidRPr="00C730BF">
        <w:t>This is as much a design principle as a deployment concern. In ATP custom implementations, schema and code contracts are inseparable.</w:t>
      </w:r>
    </w:p>
    <w:p w14:paraId="3C669EDF" w14:textId="77777777" w:rsidR="00C730BF" w:rsidRPr="00C730BF" w:rsidRDefault="00C730BF" w:rsidP="00C730BF">
      <w:r w:rsidRPr="00C730BF">
        <w:pict w14:anchorId="70C33FFA">
          <v:rect id="_x0000_i1161" style="width:0;height:1.5pt" o:hralign="center" o:hrstd="t" o:hr="t" fillcolor="#a0a0a0" stroked="f"/>
        </w:pict>
      </w:r>
    </w:p>
    <w:p w14:paraId="47E9AA8D" w14:textId="77777777" w:rsidR="00C730BF" w:rsidRPr="00C730BF" w:rsidRDefault="00C730BF" w:rsidP="00C730BF">
      <w:pPr>
        <w:rPr>
          <w:b/>
          <w:bCs/>
        </w:rPr>
      </w:pPr>
      <w:r w:rsidRPr="00C730BF">
        <w:rPr>
          <w:b/>
          <w:bCs/>
        </w:rPr>
        <w:t>16. Design for controlled deployment and schema evolution</w:t>
      </w:r>
    </w:p>
    <w:p w14:paraId="6A40BF62" w14:textId="77777777" w:rsidR="00C730BF" w:rsidRPr="00C730BF" w:rsidRDefault="00C730BF" w:rsidP="00C730BF">
      <w:r w:rsidRPr="00C730BF">
        <w:t>Production reliability depends not only on design correctness but also on whether that design can be evolved safely. The assessment identifies deployment ordering dependencies, nested type invalidation risk, and coupled rename scenarios.</w:t>
      </w:r>
    </w:p>
    <w:p w14:paraId="50FAFC79" w14:textId="77777777" w:rsidR="00C730BF" w:rsidRPr="00C730BF" w:rsidRDefault="00C730BF" w:rsidP="00C730BF">
      <w:r w:rsidRPr="00C730BF">
        <w:lastRenderedPageBreak/>
        <w:t>A sound ATP custom implementation should therefore include:</w:t>
      </w:r>
    </w:p>
    <w:p w14:paraId="47B4A10C" w14:textId="77777777" w:rsidR="00C730BF" w:rsidRPr="00C730BF" w:rsidRDefault="00C730BF" w:rsidP="00C730BF">
      <w:pPr>
        <w:numPr>
          <w:ilvl w:val="0"/>
          <w:numId w:val="21"/>
        </w:numPr>
      </w:pPr>
      <w:r w:rsidRPr="00C730BF">
        <w:t>documented object dependency chains,</w:t>
      </w:r>
    </w:p>
    <w:p w14:paraId="77932332" w14:textId="77777777" w:rsidR="00C730BF" w:rsidRPr="00C730BF" w:rsidRDefault="00C730BF" w:rsidP="00C730BF">
      <w:pPr>
        <w:numPr>
          <w:ilvl w:val="0"/>
          <w:numId w:val="21"/>
        </w:numPr>
      </w:pPr>
      <w:r w:rsidRPr="00C730BF">
        <w:t>a defined deployment order,</w:t>
      </w:r>
    </w:p>
    <w:p w14:paraId="62BA2D33" w14:textId="77777777" w:rsidR="00C730BF" w:rsidRPr="00C730BF" w:rsidRDefault="00C730BF" w:rsidP="00C730BF">
      <w:pPr>
        <w:numPr>
          <w:ilvl w:val="0"/>
          <w:numId w:val="21"/>
        </w:numPr>
      </w:pPr>
      <w:r w:rsidRPr="00C730BF">
        <w:t>recompilation steps where needed,</w:t>
      </w:r>
    </w:p>
    <w:p w14:paraId="1B64D712" w14:textId="77777777" w:rsidR="00C730BF" w:rsidRPr="00C730BF" w:rsidRDefault="00C730BF" w:rsidP="00C730BF">
      <w:pPr>
        <w:numPr>
          <w:ilvl w:val="0"/>
          <w:numId w:val="21"/>
        </w:numPr>
      </w:pPr>
      <w:r w:rsidRPr="00C730BF">
        <w:t>and runbooks for coordinated schema/package/type changes.</w:t>
      </w:r>
    </w:p>
    <w:p w14:paraId="069B8357" w14:textId="77777777" w:rsidR="00C730BF" w:rsidRPr="00C730BF" w:rsidRDefault="00C730BF" w:rsidP="00C730BF">
      <w:r w:rsidRPr="00C730BF">
        <w:t>This is particularly important for Oracle object types and any design where indexes are assumed to exist before constraints are applied. Schema evolution should be intentional and release-safe, not dependent on tribal knowledge or script ordering assumptions.</w:t>
      </w:r>
    </w:p>
    <w:p w14:paraId="170A641E" w14:textId="77777777" w:rsidR="00C730BF" w:rsidRPr="00C730BF" w:rsidRDefault="00C730BF" w:rsidP="00C730BF">
      <w:r w:rsidRPr="00C730BF">
        <w:pict w14:anchorId="0D7A5E99">
          <v:rect id="_x0000_i1162" style="width:0;height:1.5pt" o:hralign="center" o:hrstd="t" o:hr="t" fillcolor="#a0a0a0" stroked="f"/>
        </w:pict>
      </w:r>
    </w:p>
    <w:p w14:paraId="04AF9FA1" w14:textId="77777777" w:rsidR="00C730BF" w:rsidRPr="00C730BF" w:rsidRDefault="00C730BF" w:rsidP="00C730BF">
      <w:pPr>
        <w:rPr>
          <w:b/>
          <w:bCs/>
        </w:rPr>
      </w:pPr>
      <w:r w:rsidRPr="00C730BF">
        <w:rPr>
          <w:b/>
          <w:bCs/>
        </w:rPr>
        <w:t>17. Ensure ATP is supportable directly through SQL</w:t>
      </w:r>
    </w:p>
    <w:p w14:paraId="608B96F6" w14:textId="77777777" w:rsidR="00C730BF" w:rsidRPr="00C730BF" w:rsidRDefault="00C730BF" w:rsidP="00C730BF">
      <w:r w:rsidRPr="00C730BF">
        <w:t>A core principle for enterprise integration support is that a production analyst should be able to trace a transaction from source intake through Oracle import outcome directly from the ATP data model. The assessment shows that this is currently weakened by non-unique join paths, hidden semantics in generic columns, missing milestone timestamps, and structurally ambiguous lifecycle tables.</w:t>
      </w:r>
    </w:p>
    <w:p w14:paraId="662B5366" w14:textId="77777777" w:rsidR="00C730BF" w:rsidRPr="00C730BF" w:rsidRDefault="00C730BF" w:rsidP="00C730BF">
      <w:r w:rsidRPr="00C730BF">
        <w:t>ATP should therefore be designed so that SQL alone can answer questions such as:</w:t>
      </w:r>
    </w:p>
    <w:p w14:paraId="272B6FCF" w14:textId="77777777" w:rsidR="00C730BF" w:rsidRPr="00C730BF" w:rsidRDefault="00C730BF" w:rsidP="00C730BF">
      <w:pPr>
        <w:numPr>
          <w:ilvl w:val="0"/>
          <w:numId w:val="22"/>
        </w:numPr>
      </w:pPr>
      <w:r w:rsidRPr="00C730BF">
        <w:t>Was the source record received?</w:t>
      </w:r>
    </w:p>
    <w:p w14:paraId="486D266D" w14:textId="77777777" w:rsidR="00C730BF" w:rsidRPr="00C730BF" w:rsidRDefault="00C730BF" w:rsidP="00C730BF">
      <w:pPr>
        <w:numPr>
          <w:ilvl w:val="0"/>
          <w:numId w:val="22"/>
        </w:numPr>
      </w:pPr>
      <w:r w:rsidRPr="00C730BF">
        <w:t>Which batch processed it?</w:t>
      </w:r>
    </w:p>
    <w:p w14:paraId="1E67EF5A" w14:textId="77777777" w:rsidR="00C730BF" w:rsidRPr="00C730BF" w:rsidRDefault="00C730BF" w:rsidP="00C730BF">
      <w:pPr>
        <w:numPr>
          <w:ilvl w:val="0"/>
          <w:numId w:val="22"/>
        </w:numPr>
      </w:pPr>
      <w:r w:rsidRPr="00C730BF">
        <w:t>What interface row did it create?</w:t>
      </w:r>
    </w:p>
    <w:p w14:paraId="14561BAD" w14:textId="77777777" w:rsidR="00C730BF" w:rsidRPr="00C730BF" w:rsidRDefault="00C730BF" w:rsidP="00C730BF">
      <w:pPr>
        <w:numPr>
          <w:ilvl w:val="0"/>
          <w:numId w:val="22"/>
        </w:numPr>
      </w:pPr>
      <w:r w:rsidRPr="00C730BF">
        <w:t>Which request IDs are associated with it?</w:t>
      </w:r>
    </w:p>
    <w:p w14:paraId="4670765E" w14:textId="77777777" w:rsidR="00C730BF" w:rsidRPr="00C730BF" w:rsidRDefault="00C730BF" w:rsidP="00C730BF">
      <w:pPr>
        <w:numPr>
          <w:ilvl w:val="0"/>
          <w:numId w:val="22"/>
        </w:numPr>
      </w:pPr>
      <w:r w:rsidRPr="00C730BF">
        <w:t>Did Oracle accept or reject it?</w:t>
      </w:r>
    </w:p>
    <w:p w14:paraId="6379C8AA" w14:textId="77777777" w:rsidR="00C730BF" w:rsidRPr="00C730BF" w:rsidRDefault="00C730BF" w:rsidP="00C730BF">
      <w:pPr>
        <w:numPr>
          <w:ilvl w:val="0"/>
          <w:numId w:val="22"/>
        </w:numPr>
      </w:pPr>
      <w:r w:rsidRPr="00C730BF">
        <w:t>What is the current authoritative state?</w:t>
      </w:r>
    </w:p>
    <w:p w14:paraId="52141DC3" w14:textId="77777777" w:rsidR="00C730BF" w:rsidRPr="00C730BF" w:rsidRDefault="00C730BF" w:rsidP="00C730BF">
      <w:pPr>
        <w:numPr>
          <w:ilvl w:val="0"/>
          <w:numId w:val="22"/>
        </w:numPr>
      </w:pPr>
      <w:r w:rsidRPr="00C730BF">
        <w:t>If it failed, where and why?</w:t>
      </w:r>
    </w:p>
    <w:p w14:paraId="68C6B347" w14:textId="77777777" w:rsidR="00C730BF" w:rsidRPr="00C730BF" w:rsidRDefault="00C730BF" w:rsidP="00C730BF">
      <w:r w:rsidRPr="00C730BF">
        <w:t>If answering those questions requires package-code inspection or undocumented OIC knowledge, the ATP design is not sufficiently operationalized.</w:t>
      </w:r>
    </w:p>
    <w:p w14:paraId="29D8AB26" w14:textId="77777777" w:rsidR="00C730BF" w:rsidRPr="00C730BF" w:rsidRDefault="00C730BF" w:rsidP="00C730BF">
      <w:r w:rsidRPr="00C730BF">
        <w:pict w14:anchorId="2A8BC1F7">
          <v:rect id="_x0000_i1163" style="width:0;height:1.5pt" o:hralign="center" o:hrstd="t" o:hr="t" fillcolor="#a0a0a0" stroked="f"/>
        </w:pict>
      </w:r>
    </w:p>
    <w:p w14:paraId="782A8A0C" w14:textId="77777777" w:rsidR="00C730BF" w:rsidRPr="00C730BF" w:rsidRDefault="00C730BF" w:rsidP="00C730BF">
      <w:pPr>
        <w:rPr>
          <w:b/>
          <w:bCs/>
        </w:rPr>
      </w:pPr>
      <w:r w:rsidRPr="00C730BF">
        <w:rPr>
          <w:b/>
          <w:bCs/>
        </w:rPr>
        <w:t>Conclusion</w:t>
      </w:r>
    </w:p>
    <w:p w14:paraId="12FEE5E0" w14:textId="77777777" w:rsidR="00C730BF" w:rsidRPr="00C730BF" w:rsidRDefault="00C730BF" w:rsidP="00C730BF">
      <w:r w:rsidRPr="00C730BF">
        <w:lastRenderedPageBreak/>
        <w:t>The ATP custom database in this implementation must be engineered as a durable integration platform layer rather than a loose collection of staging tables and package procedures. The assessment demonstrates that design defects in ATP directly translate into runtime failures, duplicate risk, missed or repeated extractions, broken traceability, stalled batches, difficult reconciliation, and high support cost.</w:t>
      </w:r>
    </w:p>
    <w:p w14:paraId="57C56B0F" w14:textId="77777777" w:rsidR="00C730BF" w:rsidRPr="00C730BF" w:rsidRDefault="00C730BF" w:rsidP="00C730BF">
      <w:r w:rsidRPr="00C730BF">
        <w:t>For solution specialists and developers, the central design objective should be to make ATP:</w:t>
      </w:r>
    </w:p>
    <w:p w14:paraId="4BA9107D" w14:textId="77777777" w:rsidR="00C730BF" w:rsidRPr="00C730BF" w:rsidRDefault="00C730BF" w:rsidP="00C730BF">
      <w:pPr>
        <w:numPr>
          <w:ilvl w:val="0"/>
          <w:numId w:val="23"/>
        </w:numPr>
      </w:pPr>
      <w:r w:rsidRPr="00C730BF">
        <w:t>structurally correct,</w:t>
      </w:r>
    </w:p>
    <w:p w14:paraId="2FEA76C9" w14:textId="77777777" w:rsidR="00C730BF" w:rsidRPr="00C730BF" w:rsidRDefault="00C730BF" w:rsidP="00C730BF">
      <w:pPr>
        <w:numPr>
          <w:ilvl w:val="0"/>
          <w:numId w:val="23"/>
        </w:numPr>
      </w:pPr>
      <w:r w:rsidRPr="00C730BF">
        <w:t>replay-safe,</w:t>
      </w:r>
    </w:p>
    <w:p w14:paraId="50DBBBA9" w14:textId="77777777" w:rsidR="00C730BF" w:rsidRPr="00C730BF" w:rsidRDefault="00C730BF" w:rsidP="00C730BF">
      <w:pPr>
        <w:numPr>
          <w:ilvl w:val="0"/>
          <w:numId w:val="23"/>
        </w:numPr>
      </w:pPr>
      <w:r w:rsidRPr="00C730BF">
        <w:t>traceable,</w:t>
      </w:r>
    </w:p>
    <w:p w14:paraId="18BB168B" w14:textId="77777777" w:rsidR="00C730BF" w:rsidRPr="00C730BF" w:rsidRDefault="00C730BF" w:rsidP="00C730BF">
      <w:pPr>
        <w:numPr>
          <w:ilvl w:val="0"/>
          <w:numId w:val="23"/>
        </w:numPr>
      </w:pPr>
      <w:r w:rsidRPr="00C730BF">
        <w:t>governable,</w:t>
      </w:r>
    </w:p>
    <w:p w14:paraId="5C5C854C" w14:textId="77777777" w:rsidR="00C730BF" w:rsidRPr="00C730BF" w:rsidRDefault="00C730BF" w:rsidP="00C730BF">
      <w:pPr>
        <w:numPr>
          <w:ilvl w:val="0"/>
          <w:numId w:val="23"/>
        </w:numPr>
      </w:pPr>
      <w:r w:rsidRPr="00C730BF">
        <w:t>performant under OIC concurrency,</w:t>
      </w:r>
    </w:p>
    <w:p w14:paraId="6472944A" w14:textId="77777777" w:rsidR="00C730BF" w:rsidRPr="00C730BF" w:rsidRDefault="00C730BF" w:rsidP="00C730BF">
      <w:pPr>
        <w:numPr>
          <w:ilvl w:val="0"/>
          <w:numId w:val="23"/>
        </w:numPr>
      </w:pPr>
      <w:r w:rsidRPr="00C730BF">
        <w:t>and directly supportable in production.</w:t>
      </w:r>
    </w:p>
    <w:p w14:paraId="1AAFD95D" w14:textId="77777777" w:rsidR="00C730BF" w:rsidRPr="00C730BF" w:rsidRDefault="00C730BF" w:rsidP="00C730BF">
      <w:r w:rsidRPr="00C730BF">
        <w:t>In practical terms, that requires disciplined key design, strict datatype alignment, explicit lifecycle modeling, governed status transitions, reliable batch and watermark control, meaningful process-control columns, workload-aligned indexing, consistent transaction boundaries, and coordinated schema/type/package evolution.</w:t>
      </w:r>
    </w:p>
    <w:p w14:paraId="67328FA3" w14:textId="77777777" w:rsidR="00C730BF" w:rsidRPr="00C730BF" w:rsidRDefault="00C730BF" w:rsidP="00C730BF">
      <w:r w:rsidRPr="00C730BF">
        <w:t>When those principles are applied, ATP becomes a resilient integration control platform. When they are not, the result is not merely technical debt—it becomes a source of operational instability across the entire OIC-to-Fusion processing chain.</w:t>
      </w:r>
    </w:p>
    <w:p w14:paraId="19BD4BAA" w14:textId="77777777" w:rsidR="00C730BF" w:rsidRPr="00C730BF" w:rsidRDefault="00C730BF" w:rsidP="00C730BF">
      <w:r w:rsidRPr="00C730BF">
        <w:pict w14:anchorId="4E9CE4EA">
          <v:rect id="_x0000_i1164" style="width:0;height:1.5pt" o:hralign="center" o:hrstd="t" o:hr="t" fillcolor="#a0a0a0" stroked="f"/>
        </w:pict>
      </w:r>
    </w:p>
    <w:p w14:paraId="629109D5"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A70"/>
    <w:multiLevelType w:val="multilevel"/>
    <w:tmpl w:val="1ED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2B39"/>
    <w:multiLevelType w:val="multilevel"/>
    <w:tmpl w:val="B36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472A0"/>
    <w:multiLevelType w:val="multilevel"/>
    <w:tmpl w:val="5F4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D32"/>
    <w:multiLevelType w:val="multilevel"/>
    <w:tmpl w:val="4C12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72490"/>
    <w:multiLevelType w:val="multilevel"/>
    <w:tmpl w:val="A95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726B5"/>
    <w:multiLevelType w:val="multilevel"/>
    <w:tmpl w:val="352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3ACF"/>
    <w:multiLevelType w:val="multilevel"/>
    <w:tmpl w:val="924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109C4"/>
    <w:multiLevelType w:val="multilevel"/>
    <w:tmpl w:val="CC5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5152"/>
    <w:multiLevelType w:val="multilevel"/>
    <w:tmpl w:val="E85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12F48"/>
    <w:multiLevelType w:val="multilevel"/>
    <w:tmpl w:val="467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A1FD3"/>
    <w:multiLevelType w:val="multilevel"/>
    <w:tmpl w:val="206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A44F1"/>
    <w:multiLevelType w:val="multilevel"/>
    <w:tmpl w:val="4E2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91699"/>
    <w:multiLevelType w:val="multilevel"/>
    <w:tmpl w:val="60D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C1B16"/>
    <w:multiLevelType w:val="multilevel"/>
    <w:tmpl w:val="C02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54B2"/>
    <w:multiLevelType w:val="multilevel"/>
    <w:tmpl w:val="E71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43EEA"/>
    <w:multiLevelType w:val="multilevel"/>
    <w:tmpl w:val="8B3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17539"/>
    <w:multiLevelType w:val="multilevel"/>
    <w:tmpl w:val="BAFE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D4588"/>
    <w:multiLevelType w:val="multilevel"/>
    <w:tmpl w:val="6AC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F0E3D"/>
    <w:multiLevelType w:val="multilevel"/>
    <w:tmpl w:val="DFF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E7D9C"/>
    <w:multiLevelType w:val="multilevel"/>
    <w:tmpl w:val="212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F48C3"/>
    <w:multiLevelType w:val="multilevel"/>
    <w:tmpl w:val="370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04936"/>
    <w:multiLevelType w:val="multilevel"/>
    <w:tmpl w:val="DBF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82873"/>
    <w:multiLevelType w:val="multilevel"/>
    <w:tmpl w:val="12AE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B5CAE"/>
    <w:multiLevelType w:val="multilevel"/>
    <w:tmpl w:val="B13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334650">
    <w:abstractNumId w:val="15"/>
  </w:num>
  <w:num w:numId="2" w16cid:durableId="1415123535">
    <w:abstractNumId w:val="21"/>
  </w:num>
  <w:num w:numId="3" w16cid:durableId="1680228446">
    <w:abstractNumId w:val="6"/>
  </w:num>
  <w:num w:numId="4" w16cid:durableId="1514609691">
    <w:abstractNumId w:val="9"/>
  </w:num>
  <w:num w:numId="5" w16cid:durableId="168638854">
    <w:abstractNumId w:val="20"/>
  </w:num>
  <w:num w:numId="6" w16cid:durableId="775059843">
    <w:abstractNumId w:val="2"/>
  </w:num>
  <w:num w:numId="7" w16cid:durableId="711611569">
    <w:abstractNumId w:val="23"/>
  </w:num>
  <w:num w:numId="8" w16cid:durableId="1596405225">
    <w:abstractNumId w:val="18"/>
  </w:num>
  <w:num w:numId="9" w16cid:durableId="1689406392">
    <w:abstractNumId w:val="19"/>
  </w:num>
  <w:num w:numId="10" w16cid:durableId="1192450892">
    <w:abstractNumId w:val="8"/>
  </w:num>
  <w:num w:numId="11" w16cid:durableId="382482715">
    <w:abstractNumId w:val="14"/>
  </w:num>
  <w:num w:numId="12" w16cid:durableId="795682671">
    <w:abstractNumId w:val="0"/>
  </w:num>
  <w:num w:numId="13" w16cid:durableId="2049835111">
    <w:abstractNumId w:val="1"/>
  </w:num>
  <w:num w:numId="14" w16cid:durableId="1905263322">
    <w:abstractNumId w:val="12"/>
  </w:num>
  <w:num w:numId="15" w16cid:durableId="1211914373">
    <w:abstractNumId w:val="7"/>
  </w:num>
  <w:num w:numId="16" w16cid:durableId="1482117295">
    <w:abstractNumId w:val="13"/>
  </w:num>
  <w:num w:numId="17" w16cid:durableId="1667709065">
    <w:abstractNumId w:val="4"/>
  </w:num>
  <w:num w:numId="18" w16cid:durableId="1193687972">
    <w:abstractNumId w:val="11"/>
  </w:num>
  <w:num w:numId="19" w16cid:durableId="1483738290">
    <w:abstractNumId w:val="16"/>
  </w:num>
  <w:num w:numId="20" w16cid:durableId="1163928905">
    <w:abstractNumId w:val="17"/>
  </w:num>
  <w:num w:numId="21" w16cid:durableId="570694496">
    <w:abstractNumId w:val="10"/>
  </w:num>
  <w:num w:numId="22" w16cid:durableId="1511338824">
    <w:abstractNumId w:val="22"/>
  </w:num>
  <w:num w:numId="23" w16cid:durableId="699354173">
    <w:abstractNumId w:val="5"/>
  </w:num>
  <w:num w:numId="24" w16cid:durableId="75840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BF"/>
    <w:rsid w:val="00125098"/>
    <w:rsid w:val="001E462F"/>
    <w:rsid w:val="002C6C2B"/>
    <w:rsid w:val="00353370"/>
    <w:rsid w:val="00412D2F"/>
    <w:rsid w:val="0044508B"/>
    <w:rsid w:val="00473E92"/>
    <w:rsid w:val="005318DE"/>
    <w:rsid w:val="008B1141"/>
    <w:rsid w:val="009F012A"/>
    <w:rsid w:val="00C730BF"/>
    <w:rsid w:val="00CD24D6"/>
    <w:rsid w:val="00E41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4FB1"/>
  <w15:chartTrackingRefBased/>
  <w15:docId w15:val="{2C0F92C1-0A88-4CEF-B1AF-41E1880B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BF"/>
    <w:rPr>
      <w:rFonts w:eastAsiaTheme="majorEastAsia" w:cstheme="majorBidi"/>
      <w:color w:val="272727" w:themeColor="text1" w:themeTint="D8"/>
    </w:rPr>
  </w:style>
  <w:style w:type="paragraph" w:styleId="Title">
    <w:name w:val="Title"/>
    <w:basedOn w:val="Normal"/>
    <w:next w:val="Normal"/>
    <w:link w:val="TitleChar"/>
    <w:uiPriority w:val="10"/>
    <w:qFormat/>
    <w:rsid w:val="00C7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BF"/>
    <w:pPr>
      <w:spacing w:before="160"/>
      <w:jc w:val="center"/>
    </w:pPr>
    <w:rPr>
      <w:i/>
      <w:iCs/>
      <w:color w:val="404040" w:themeColor="text1" w:themeTint="BF"/>
    </w:rPr>
  </w:style>
  <w:style w:type="character" w:customStyle="1" w:styleId="QuoteChar">
    <w:name w:val="Quote Char"/>
    <w:basedOn w:val="DefaultParagraphFont"/>
    <w:link w:val="Quote"/>
    <w:uiPriority w:val="29"/>
    <w:rsid w:val="00C730BF"/>
    <w:rPr>
      <w:i/>
      <w:iCs/>
      <w:color w:val="404040" w:themeColor="text1" w:themeTint="BF"/>
    </w:rPr>
  </w:style>
  <w:style w:type="paragraph" w:styleId="ListParagraph">
    <w:name w:val="List Paragraph"/>
    <w:basedOn w:val="Normal"/>
    <w:uiPriority w:val="34"/>
    <w:qFormat/>
    <w:rsid w:val="00C730BF"/>
    <w:pPr>
      <w:ind w:left="720"/>
      <w:contextualSpacing/>
    </w:pPr>
  </w:style>
  <w:style w:type="character" w:styleId="IntenseEmphasis">
    <w:name w:val="Intense Emphasis"/>
    <w:basedOn w:val="DefaultParagraphFont"/>
    <w:uiPriority w:val="21"/>
    <w:qFormat/>
    <w:rsid w:val="00C730BF"/>
    <w:rPr>
      <w:i/>
      <w:iCs/>
      <w:color w:val="0F4761" w:themeColor="accent1" w:themeShade="BF"/>
    </w:rPr>
  </w:style>
  <w:style w:type="paragraph" w:styleId="IntenseQuote">
    <w:name w:val="Intense Quote"/>
    <w:basedOn w:val="Normal"/>
    <w:next w:val="Normal"/>
    <w:link w:val="IntenseQuoteChar"/>
    <w:uiPriority w:val="30"/>
    <w:qFormat/>
    <w:rsid w:val="00C73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BF"/>
    <w:rPr>
      <w:i/>
      <w:iCs/>
      <w:color w:val="0F4761" w:themeColor="accent1" w:themeShade="BF"/>
    </w:rPr>
  </w:style>
  <w:style w:type="character" w:styleId="IntenseReference">
    <w:name w:val="Intense Reference"/>
    <w:basedOn w:val="DefaultParagraphFont"/>
    <w:uiPriority w:val="32"/>
    <w:qFormat/>
    <w:rsid w:val="00C73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2881</Words>
  <Characters>17811</Characters>
  <Application>Microsoft Office Word</Application>
  <DocSecurity>0</DocSecurity>
  <Lines>349</Lines>
  <Paragraphs>126</Paragraphs>
  <ScaleCrop>false</ScaleCrop>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cp:revision>
  <dcterms:created xsi:type="dcterms:W3CDTF">2026-05-13T20:20:00Z</dcterms:created>
  <dcterms:modified xsi:type="dcterms:W3CDTF">2026-05-13T20:23:00Z</dcterms:modified>
</cp:coreProperties>
</file>