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B7A75"/>
          <w:sz w:val="60"/>
        </w:rPr>
        <w:t>INTERFOR</w:t>
      </w:r>
    </w:p>
    <w:p>
      <w:pPr>
        <w:jc w:val="center"/>
      </w:pPr>
      <w:r>
        <w:rPr>
          <w:b/>
          <w:color w:val="123A5A"/>
          <w:sz w:val="50"/>
        </w:rPr>
        <w:t>TMS Modernization and Replacement Program</w:t>
      </w:r>
    </w:p>
    <w:p>
      <w:pPr>
        <w:jc w:val="center"/>
      </w:pPr>
      <w:r>
        <w:rPr>
          <w:color w:val="2B579A"/>
          <w:sz w:val="30"/>
        </w:rPr>
        <w:t>360-Degree Assessment Framework, Truck and Rail Capability Model, Runbook, and Current-State Heat-Map Template</w:t>
      </w:r>
    </w:p>
    <w:p>
      <w:r>
        <w:br/>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23A5A"/>
          </w:tcPr>
          <w:p>
            <w:r/>
            <w:r>
              <w:rPr>
                <w:rFonts w:ascii="Aptos" w:hAnsi="Aptos"/>
                <w:b/>
                <w:color w:val="FFFFFF"/>
                <w:sz w:val="16"/>
              </w:rPr>
              <w:t>Document control</w:t>
            </w:r>
          </w:p>
        </w:tc>
        <w:tc>
          <w:tcPr>
            <w:tcW w:type="dxa" w:w="7920"/>
            <w:vAlign w:val="center"/>
            <w:shd w:fill="123A5A"/>
          </w:tcPr>
          <w:p>
            <w:r/>
            <w:r>
              <w:rPr>
                <w:rFonts w:ascii="Aptos" w:hAnsi="Aptos"/>
                <w:b/>
                <w:color w:val="FFFFFF"/>
                <w:sz w:val="16"/>
              </w:rPr>
              <w:t>Value</w:t>
            </w:r>
          </w:p>
        </w:tc>
      </w:tr>
      <w:tr>
        <w:trPr>
          <w:cantSplit/>
        </w:trPr>
        <w:tc>
          <w:tcPr>
            <w:tcW w:type="dxa" w:w="2880"/>
            <w:vAlign w:val="center"/>
          </w:tcPr>
          <w:p>
            <w:r/>
            <w:r>
              <w:rPr>
                <w:rFonts w:ascii="Aptos" w:hAnsi="Aptos"/>
                <w:b w:val="0"/>
                <w:sz w:val="17"/>
              </w:rPr>
              <w:t>Status</w:t>
            </w:r>
          </w:p>
        </w:tc>
        <w:tc>
          <w:tcPr>
            <w:tcW w:type="dxa" w:w="7920"/>
            <w:vAlign w:val="center"/>
          </w:tcPr>
          <w:p>
            <w:r/>
            <w:r>
              <w:rPr>
                <w:rFonts w:ascii="Aptos" w:hAnsi="Aptos"/>
                <w:b w:val="0"/>
                <w:sz w:val="17"/>
              </w:rPr>
              <w:t>Initial assessment baseline</w:t>
            </w:r>
          </w:p>
        </w:tc>
      </w:tr>
      <w:tr>
        <w:trPr>
          <w:cantSplit/>
        </w:trPr>
        <w:tc>
          <w:tcPr>
            <w:tcW w:type="dxa" w:w="2880"/>
            <w:vAlign w:val="center"/>
          </w:tcPr>
          <w:p>
            <w:r/>
            <w:r>
              <w:rPr>
                <w:rFonts w:ascii="Aptos" w:hAnsi="Aptos"/>
                <w:b w:val="0"/>
                <w:sz w:val="17"/>
              </w:rPr>
              <w:t>Version</w:t>
            </w:r>
          </w:p>
        </w:tc>
        <w:tc>
          <w:tcPr>
            <w:tcW w:type="dxa" w:w="7920"/>
            <w:vAlign w:val="center"/>
          </w:tcPr>
          <w:p>
            <w:r/>
            <w:r>
              <w:rPr>
                <w:rFonts w:ascii="Aptos" w:hAnsi="Aptos"/>
                <w:b w:val="0"/>
                <w:sz w:val="17"/>
              </w:rPr>
              <w:t>1.0</w:t>
            </w:r>
          </w:p>
        </w:tc>
      </w:tr>
      <w:tr>
        <w:trPr>
          <w:cantSplit/>
        </w:trPr>
        <w:tc>
          <w:tcPr>
            <w:tcW w:type="dxa" w:w="2880"/>
            <w:vAlign w:val="center"/>
          </w:tcPr>
          <w:p>
            <w:r/>
            <w:r>
              <w:rPr>
                <w:rFonts w:ascii="Aptos" w:hAnsi="Aptos"/>
                <w:b w:val="0"/>
                <w:sz w:val="17"/>
              </w:rPr>
              <w:t>Date</w:t>
            </w:r>
          </w:p>
        </w:tc>
        <w:tc>
          <w:tcPr>
            <w:tcW w:type="dxa" w:w="7920"/>
            <w:vAlign w:val="center"/>
          </w:tcPr>
          <w:p>
            <w:r/>
            <w:r>
              <w:rPr>
                <w:rFonts w:ascii="Aptos" w:hAnsi="Aptos"/>
                <w:b w:val="0"/>
                <w:sz w:val="17"/>
              </w:rPr>
              <w:t>October 22, 2026</w:t>
            </w:r>
          </w:p>
        </w:tc>
      </w:tr>
      <w:tr>
        <w:trPr>
          <w:cantSplit/>
        </w:trPr>
        <w:tc>
          <w:tcPr>
            <w:tcW w:type="dxa" w:w="2880"/>
            <w:vAlign w:val="center"/>
          </w:tcPr>
          <w:p>
            <w:r/>
            <w:r>
              <w:rPr>
                <w:rFonts w:ascii="Aptos" w:hAnsi="Aptos"/>
                <w:b w:val="0"/>
                <w:sz w:val="17"/>
              </w:rPr>
              <w:t>Scope</w:t>
            </w:r>
          </w:p>
        </w:tc>
        <w:tc>
          <w:tcPr>
            <w:tcW w:type="dxa" w:w="7920"/>
            <w:vAlign w:val="center"/>
          </w:tcPr>
          <w:p>
            <w:r/>
            <w:r>
              <w:rPr>
                <w:rFonts w:ascii="Aptos" w:hAnsi="Aptos"/>
                <w:b w:val="0"/>
                <w:sz w:val="17"/>
              </w:rPr>
              <w:t>Vendor-neutral TMS peer review for Interfor</w:t>
            </w:r>
          </w:p>
        </w:tc>
      </w:tr>
      <w:tr>
        <w:trPr>
          <w:cantSplit/>
        </w:trPr>
        <w:tc>
          <w:tcPr>
            <w:tcW w:type="dxa" w:w="2880"/>
            <w:vAlign w:val="center"/>
          </w:tcPr>
          <w:p>
            <w:r/>
            <w:r>
              <w:rPr>
                <w:rFonts w:ascii="Aptos" w:hAnsi="Aptos"/>
                <w:b w:val="0"/>
                <w:sz w:val="17"/>
              </w:rPr>
              <w:t>Capability tracks</w:t>
            </w:r>
          </w:p>
        </w:tc>
        <w:tc>
          <w:tcPr>
            <w:tcW w:type="dxa" w:w="7920"/>
            <w:vAlign w:val="center"/>
          </w:tcPr>
          <w:p>
            <w:r/>
            <w:r>
              <w:rPr>
                <w:rFonts w:ascii="Aptos" w:hAnsi="Aptos"/>
                <w:b w:val="0"/>
                <w:sz w:val="17"/>
              </w:rPr>
              <w:t>Truck and Rail</w:t>
            </w:r>
          </w:p>
        </w:tc>
      </w:tr>
      <w:tr>
        <w:trPr>
          <w:cantSplit/>
        </w:trPr>
        <w:tc>
          <w:tcPr>
            <w:tcW w:type="dxa" w:w="2880"/>
            <w:vAlign w:val="center"/>
          </w:tcPr>
          <w:p>
            <w:r/>
            <w:r>
              <w:rPr>
                <w:rFonts w:ascii="Aptos" w:hAnsi="Aptos"/>
                <w:b w:val="0"/>
                <w:sz w:val="17"/>
              </w:rPr>
              <w:t>Incumbent baseline</w:t>
            </w:r>
          </w:p>
        </w:tc>
        <w:tc>
          <w:tcPr>
            <w:tcW w:type="dxa" w:w="7920"/>
            <w:vAlign w:val="center"/>
          </w:tcPr>
          <w:p>
            <w:r/>
            <w:r>
              <w:rPr>
                <w:rFonts w:ascii="Aptos" w:hAnsi="Aptos"/>
                <w:b w:val="0"/>
                <w:sz w:val="17"/>
              </w:rPr>
              <w:t>IntelliTrans / CarrierPoint</w:t>
            </w:r>
          </w:p>
        </w:tc>
      </w:tr>
      <w:tr>
        <w:trPr>
          <w:cantSplit/>
        </w:trPr>
        <w:tc>
          <w:tcPr>
            <w:tcW w:type="dxa" w:w="2880"/>
            <w:vAlign w:val="center"/>
          </w:tcPr>
          <w:p>
            <w:r/>
            <w:r>
              <w:rPr>
                <w:rFonts w:ascii="Aptos" w:hAnsi="Aptos"/>
                <w:b w:val="0"/>
                <w:sz w:val="17"/>
              </w:rPr>
              <w:t>Audience</w:t>
            </w:r>
          </w:p>
        </w:tc>
        <w:tc>
          <w:tcPr>
            <w:tcW w:type="dxa" w:w="7920"/>
            <w:vAlign w:val="center"/>
          </w:tcPr>
          <w:p>
            <w:r/>
            <w:r>
              <w:rPr>
                <w:rFonts w:ascii="Aptos" w:hAnsi="Aptos"/>
                <w:b w:val="0"/>
                <w:sz w:val="17"/>
              </w:rPr>
              <w:t>Executive business owners, directors, solution architects, solution specialists, business analysts, transportation SMEs, Finance and IT Operations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2CC"/>
          </w:tcPr>
          <w:p>
            <w:r>
              <w:rPr>
                <w:b/>
                <w:color w:val="123A5A"/>
                <w:sz w:val="20"/>
              </w:rPr>
              <w:t>Grounding rule</w:t>
              <w:br/>
            </w:r>
            <w:r>
              <w:rPr>
                <w:sz w:val="18"/>
              </w:rPr>
              <w:t>Verified current-state claims are separated from assessment assumptions and recommendations. Vendor capabilities remain unverified until supported by documentation, configuration evidence, scripted scenario execution, technical artifacts, customer references, or production evidence.</w:t>
            </w:r>
          </w:p>
        </w:tc>
      </w:tr>
    </w:tbl>
    <w:p>
      <w:pPr>
        <w:spacing w:after="20"/>
      </w:pPr>
    </w:p>
    <w:p>
      <w:r>
        <w:br w:type="page"/>
      </w:r>
    </w:p>
    <w:p>
      <w:pPr>
        <w:pStyle w:val="Heading1"/>
      </w:pPr>
      <w:r>
        <w:t>Contents</w:t>
      </w:r>
    </w:p>
    <w:p>
      <w:pPr>
        <w:pStyle w:val="ListNumber"/>
      </w:pPr>
      <w:r>
        <w:t>1. Executive intent and decision scope</w:t>
      </w:r>
    </w:p>
    <w:p>
      <w:pPr>
        <w:pStyle w:val="ListNumber"/>
      </w:pPr>
      <w:r>
        <w:t>2. Initial assumptions and assessment principles</w:t>
      </w:r>
    </w:p>
    <w:p>
      <w:pPr>
        <w:pStyle w:val="ListNumber"/>
      </w:pPr>
      <w:r>
        <w:t>3. Proposed 360-degree assessment framework</w:t>
      </w:r>
    </w:p>
    <w:p>
      <w:pPr>
        <w:pStyle w:val="ListNumber"/>
      </w:pPr>
      <w:r>
        <w:t>4. Truck capability model</w:t>
      </w:r>
    </w:p>
    <w:p>
      <w:pPr>
        <w:pStyle w:val="ListNumber"/>
      </w:pPr>
      <w:r>
        <w:t>5. Rail capability model</w:t>
      </w:r>
    </w:p>
    <w:p>
      <w:pPr>
        <w:pStyle w:val="ListNumber"/>
      </w:pPr>
      <w:r>
        <w:t>6. Shared enterprise capability model</w:t>
      </w:r>
    </w:p>
    <w:p>
      <w:pPr>
        <w:pStyle w:val="ListNumber"/>
      </w:pPr>
      <w:r>
        <w:t>7. Assessment runbook</w:t>
      </w:r>
    </w:p>
    <w:p>
      <w:pPr>
        <w:pStyle w:val="ListNumber"/>
      </w:pPr>
      <w:r>
        <w:t>8. Current-state heat-map template</w:t>
      </w:r>
    </w:p>
    <w:p>
      <w:pPr>
        <w:pStyle w:val="ListNumber"/>
      </w:pPr>
      <w:r>
        <w:t>9. Scoring, evidence and governance</w:t>
      </w:r>
    </w:p>
    <w:p>
      <w:pPr>
        <w:pStyle w:val="ListNumber"/>
      </w:pPr>
      <w:r>
        <w:t>10. Initial evidence register and open questions</w:t>
      </w:r>
    </w:p>
    <w:p>
      <w:r>
        <w:br w:type="page"/>
      </w:r>
    </w:p>
    <w:p>
      <w:pPr>
        <w:pStyle w:val="Heading1"/>
      </w:pPr>
      <w:r>
        <w:t>1. Executive Intent and Decision Scope</w:t>
      </w:r>
    </w:p>
    <w:p>
      <w:r>
        <w:t>Interfor is conducting a vendor-neutral, 360-degree technical and functional peer review of the current transportation management landscape. The purpose is not to justify a predetermined replacement of IntelliTrans / CarrierPoint. The purpose is to determine which target-state transportation architecture best supports Interfor over the next five to ten years.</w:t>
      </w:r>
    </w:p>
    <w:tbl>
      <w:tblPr>
        <w:tblStyle w:val="TableGrid"/>
        <w:tblW w:type="auto" w:w="0"/>
        <w:tblLook w:firstColumn="1" w:firstRow="1" w:lastColumn="0" w:lastRow="0" w:noHBand="0" w:noVBand="1" w:val="04A0"/>
      </w:tblPr>
      <w:tblGrid>
        <w:gridCol w:w="10224"/>
      </w:tblGrid>
      <w:tr>
        <w:tc>
          <w:tcPr>
            <w:tcW w:type="dxa" w:w="10224"/>
            <w:shd w:fill="EAF4F4"/>
          </w:tcPr>
          <w:p>
            <w:r>
              <w:rPr>
                <w:b/>
                <w:color w:val="123A5A"/>
                <w:sz w:val="20"/>
              </w:rPr>
              <w:t>Core decision question</w:t>
              <w:br/>
            </w:r>
            <w:r>
              <w:rPr>
                <w:sz w:val="18"/>
              </w:rPr>
              <w:t>If Interfor were designing its transportation technology landscape today, knowing what it now knows about Truck, Rail, LumberTrack integration, carrier collaboration, visibility, settlement, auditability and operational support, would it choose the same architecture?</w:t>
            </w:r>
          </w:p>
        </w:tc>
      </w:tr>
    </w:tbl>
    <w:p>
      <w:pPr>
        <w:spacing w:after="20"/>
      </w:pPr>
    </w:p>
    <w:p>
      <w:pPr>
        <w:pStyle w:val="Heading2"/>
      </w:pPr>
      <w:r>
        <w:t>1.1 Decision outcomes kept open</w:t>
      </w:r>
    </w:p>
    <w:p>
      <w:pPr>
        <w:pStyle w:val="ListNumber"/>
        <w:spacing w:after="20"/>
      </w:pPr>
      <w:r>
        <w:t>Retain CarrierPoint unchanged.</w:t>
      </w:r>
    </w:p>
    <w:p>
      <w:pPr>
        <w:pStyle w:val="ListNumber"/>
        <w:spacing w:after="20"/>
      </w:pPr>
      <w:r>
        <w:t>Retain and remediate or modernize CarrierPoint.</w:t>
      </w:r>
    </w:p>
    <w:p>
      <w:pPr>
        <w:pStyle w:val="ListNumber"/>
        <w:spacing w:after="20"/>
      </w:pPr>
      <w:r>
        <w:t>Retain CarrierPoint and add complementary specialist platforms.</w:t>
      </w:r>
    </w:p>
    <w:p>
      <w:pPr>
        <w:pStyle w:val="ListNumber"/>
        <w:spacing w:after="20"/>
      </w:pPr>
      <w:r>
        <w:t>Progressively replace selected capabilities.</w:t>
      </w:r>
    </w:p>
    <w:p>
      <w:pPr>
        <w:pStyle w:val="ListNumber"/>
        <w:spacing w:after="20"/>
      </w:pPr>
      <w:r>
        <w:t>Replace CarrierPoint as the enterprise TMS.</w:t>
      </w:r>
    </w:p>
    <w:p>
      <w:pPr>
        <w:pStyle w:val="ListNumber"/>
        <w:spacing w:after="20"/>
      </w:pPr>
      <w:r>
        <w:t>Adopt a composable transportation architecture spanning Truck, Rail, visibility and settlement services.</w:t>
      </w:r>
    </w:p>
    <w:p>
      <w:pPr>
        <w:pStyle w:val="Heading2"/>
      </w:pPr>
      <w:r>
        <w:t>1.2 Two capability tracks</w:t>
      </w:r>
    </w:p>
    <w:p>
      <w:r>
        <w:t>Truck and Rail are evaluated independently before Interfor decides whether one platform or multiple coordinated platforms should support them. Rail is not treated as a simple extension of truck transportation because rail planning, equipment lifecycle, waybilling, events, demurrage, interchange and railroad connectivity introduce distinct capabilities and controls.</w:t>
      </w:r>
    </w:p>
    <w:p>
      <w:pPr>
        <w:pStyle w:val="Heading2"/>
      </w:pPr>
      <w:r>
        <w:t>1.3 Current-state evidence anchors</w:t>
      </w:r>
    </w:p>
    <w:p>
      <w:pPr>
        <w:pStyle w:val="ListBullet"/>
        <w:spacing w:after="20"/>
      </w:pPr>
      <w:r>
        <w:t>CarrierPoint/TMS participates in transportation planning and carrier assignment, with applicable shipment attributes returning to LumberTrack. OMSI/SSIS are used where configured.</w:t>
      </w:r>
    </w:p>
    <w:p>
      <w:pPr>
        <w:pStyle w:val="ListBullet"/>
        <w:spacing w:after="20"/>
      </w:pPr>
      <w:r>
        <w:t>The documented rail BOL process includes LumberTrack XML, SSIS validation/transformation, EDI 404 transmission through Kleinschmidt, acknowledgements, waybill response and writeback to LumberTrack.</w:t>
      </w:r>
    </w:p>
    <w:p>
      <w:pPr>
        <w:pStyle w:val="ListBullet"/>
        <w:spacing w:after="20"/>
      </w:pPr>
      <w:r>
        <w:t>Freight settlement discussions identify Ready-to-Pay, POD, delivery-confirmation or signed-BOL date, invoice date, posting date and legal-entity billing as material control areas.</w:t>
      </w:r>
    </w:p>
    <w:p>
      <w:pPr>
        <w:pStyle w:val="ListBullet"/>
        <w:spacing w:after="20"/>
      </w:pPr>
      <w:r>
        <w:t>Current-state issues must be classified by root cause rather than attributed automatically to the incumbent TMS.</w:t>
      </w:r>
    </w:p>
    <w:p>
      <w:pPr>
        <w:pStyle w:val="Caption"/>
        <w:spacing w:before="80" w:after="120"/>
      </w:pPr>
      <w:r>
        <w:rPr>
          <w:i/>
          <w:color w:val="606060"/>
          <w:sz w:val="16"/>
        </w:rPr>
        <w:t>Grounding sources: LumberTrack KT Volume 2, section 7.2; ATS-to-Order Process Details, Level 2F and 2H; EDI Interfaces LumberTrack, BOL and AUTO-FAVI sections; LumberTrack AP Auto-Generated Invoices meeting, October 8, 2026</w:t>
      </w:r>
    </w:p>
    <w:p>
      <w:r>
        <w:br w:type="page"/>
      </w:r>
    </w:p>
    <w:p>
      <w:pPr>
        <w:pStyle w:val="Heading1"/>
      </w:pPr>
      <w:r>
        <w:t>2. Initial Assumptions and Assessment Principles</w:t>
      </w:r>
    </w:p>
    <w:p>
      <w:pPr>
        <w:pStyle w:val="Heading2"/>
      </w:pPr>
      <w:r>
        <w:t>2.1 Initial runbook assumptions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720"/>
            <w:vAlign w:val="center"/>
            <w:shd w:fill="123A5A"/>
          </w:tcPr>
          <w:p>
            <w:r/>
            <w:r>
              <w:rPr>
                <w:rFonts w:ascii="Aptos" w:hAnsi="Aptos"/>
                <w:b/>
                <w:color w:val="FFFFFF"/>
                <w:sz w:val="16"/>
              </w:rPr>
              <w:t>ID</w:t>
            </w:r>
          </w:p>
        </w:tc>
        <w:tc>
          <w:tcPr>
            <w:tcW w:type="dxa" w:w="8064"/>
            <w:vAlign w:val="center"/>
            <w:shd w:fill="123A5A"/>
          </w:tcPr>
          <w:p>
            <w:r/>
            <w:r>
              <w:rPr>
                <w:rFonts w:ascii="Aptos" w:hAnsi="Aptos"/>
                <w:b/>
                <w:color w:val="FFFFFF"/>
                <w:sz w:val="16"/>
              </w:rPr>
              <w:t>Working assumption</w:t>
            </w:r>
          </w:p>
        </w:tc>
        <w:tc>
          <w:tcPr>
            <w:tcW w:type="dxa" w:w="2016"/>
            <w:vAlign w:val="center"/>
            <w:shd w:fill="123A5A"/>
          </w:tcPr>
          <w:p>
            <w:r/>
            <w:r>
              <w:rPr>
                <w:rFonts w:ascii="Aptos" w:hAnsi="Aptos"/>
                <w:b/>
                <w:color w:val="FFFFFF"/>
                <w:sz w:val="16"/>
              </w:rPr>
              <w:t>Validation status</w:t>
            </w:r>
          </w:p>
        </w:tc>
      </w:tr>
      <w:tr>
        <w:trPr>
          <w:cantSplit/>
        </w:trPr>
        <w:tc>
          <w:tcPr>
            <w:tcW w:type="dxa" w:w="720"/>
            <w:vAlign w:val="center"/>
          </w:tcPr>
          <w:p>
            <w:r/>
            <w:r>
              <w:rPr>
                <w:rFonts w:ascii="Aptos" w:hAnsi="Aptos"/>
                <w:b w:val="0"/>
                <w:sz w:val="15"/>
              </w:rPr>
              <w:t>A1</w:t>
            </w:r>
          </w:p>
        </w:tc>
        <w:tc>
          <w:tcPr>
            <w:tcW w:type="dxa" w:w="8064"/>
            <w:vAlign w:val="center"/>
          </w:tcPr>
          <w:p>
            <w:r/>
            <w:r>
              <w:rPr>
                <w:rFonts w:ascii="Aptos" w:hAnsi="Aptos"/>
                <w:b w:val="0"/>
                <w:sz w:val="15"/>
              </w:rPr>
              <w:t>The review is a modernization and strategic-fit assessment, not an approved replacement project.</w:t>
            </w:r>
          </w:p>
        </w:tc>
        <w:tc>
          <w:tcPr>
            <w:tcW w:type="dxa" w:w="2016"/>
            <w:vAlign w:val="center"/>
          </w:tcPr>
          <w:p>
            <w:r/>
            <w:r>
              <w:rPr>
                <w:rFonts w:ascii="Aptos" w:hAnsi="Aptos"/>
                <w:b w:val="0"/>
                <w:sz w:val="15"/>
              </w:rPr>
              <w:t>To validate with sponsor</w:t>
            </w:r>
          </w:p>
        </w:tc>
      </w:tr>
      <w:tr>
        <w:trPr>
          <w:cantSplit/>
        </w:trPr>
        <w:tc>
          <w:tcPr>
            <w:tcW w:type="dxa" w:w="720"/>
            <w:vAlign w:val="center"/>
          </w:tcPr>
          <w:p>
            <w:r/>
            <w:r>
              <w:rPr>
                <w:rFonts w:ascii="Aptos" w:hAnsi="Aptos"/>
                <w:b w:val="0"/>
                <w:sz w:val="15"/>
              </w:rPr>
              <w:t>A2</w:t>
            </w:r>
          </w:p>
        </w:tc>
        <w:tc>
          <w:tcPr>
            <w:tcW w:type="dxa" w:w="8064"/>
            <w:vAlign w:val="center"/>
          </w:tcPr>
          <w:p>
            <w:r/>
            <w:r>
              <w:rPr>
                <w:rFonts w:ascii="Aptos" w:hAnsi="Aptos"/>
                <w:b w:val="0"/>
                <w:sz w:val="15"/>
              </w:rPr>
              <w:t>CarrierPoint is scored with the same criteria and evidence rules as peer platforms.</w:t>
            </w:r>
          </w:p>
        </w:tc>
        <w:tc>
          <w:tcPr>
            <w:tcW w:type="dxa" w:w="2016"/>
            <w:vAlign w:val="center"/>
          </w:tcPr>
          <w:p>
            <w:r/>
            <w:r>
              <w:rPr>
                <w:rFonts w:ascii="Aptos" w:hAnsi="Aptos"/>
                <w:b w:val="0"/>
                <w:sz w:val="15"/>
              </w:rPr>
              <w:t>Adopted</w:t>
            </w:r>
          </w:p>
        </w:tc>
      </w:tr>
      <w:tr>
        <w:trPr>
          <w:cantSplit/>
        </w:trPr>
        <w:tc>
          <w:tcPr>
            <w:tcW w:type="dxa" w:w="720"/>
            <w:vAlign w:val="center"/>
          </w:tcPr>
          <w:p>
            <w:r/>
            <w:r>
              <w:rPr>
                <w:rFonts w:ascii="Aptos" w:hAnsi="Aptos"/>
                <w:b w:val="0"/>
                <w:sz w:val="15"/>
              </w:rPr>
              <w:t>A3</w:t>
            </w:r>
          </w:p>
        </w:tc>
        <w:tc>
          <w:tcPr>
            <w:tcW w:type="dxa" w:w="8064"/>
            <w:vAlign w:val="center"/>
          </w:tcPr>
          <w:p>
            <w:r/>
            <w:r>
              <w:rPr>
                <w:rFonts w:ascii="Aptos" w:hAnsi="Aptos"/>
                <w:b w:val="0"/>
                <w:sz w:val="15"/>
              </w:rPr>
              <w:t>LumberTrack remains a core operational system during assessment.</w:t>
            </w:r>
          </w:p>
        </w:tc>
        <w:tc>
          <w:tcPr>
            <w:tcW w:type="dxa" w:w="2016"/>
            <w:vAlign w:val="center"/>
          </w:tcPr>
          <w:p>
            <w:r/>
            <w:r>
              <w:rPr>
                <w:rFonts w:ascii="Aptos" w:hAnsi="Aptos"/>
                <w:b w:val="0"/>
                <w:sz w:val="15"/>
              </w:rPr>
              <w:t>Working assumption</w:t>
            </w:r>
          </w:p>
        </w:tc>
      </w:tr>
      <w:tr>
        <w:trPr>
          <w:cantSplit/>
        </w:trPr>
        <w:tc>
          <w:tcPr>
            <w:tcW w:type="dxa" w:w="720"/>
            <w:vAlign w:val="center"/>
          </w:tcPr>
          <w:p>
            <w:r/>
            <w:r>
              <w:rPr>
                <w:rFonts w:ascii="Aptos" w:hAnsi="Aptos"/>
                <w:b w:val="0"/>
                <w:sz w:val="15"/>
              </w:rPr>
              <w:t>A4</w:t>
            </w:r>
          </w:p>
        </w:tc>
        <w:tc>
          <w:tcPr>
            <w:tcW w:type="dxa" w:w="8064"/>
            <w:vAlign w:val="center"/>
          </w:tcPr>
          <w:p>
            <w:r/>
            <w:r>
              <w:rPr>
                <w:rFonts w:ascii="Aptos" w:hAnsi="Aptos"/>
                <w:b w:val="0"/>
                <w:sz w:val="15"/>
              </w:rPr>
              <w:t>Truck and Rail are separate capability tracks.</w:t>
            </w:r>
          </w:p>
        </w:tc>
        <w:tc>
          <w:tcPr>
            <w:tcW w:type="dxa" w:w="2016"/>
            <w:vAlign w:val="center"/>
          </w:tcPr>
          <w:p>
            <w:r/>
            <w:r>
              <w:rPr>
                <w:rFonts w:ascii="Aptos" w:hAnsi="Aptos"/>
                <w:b w:val="0"/>
                <w:sz w:val="15"/>
              </w:rPr>
              <w:t>Confirmed</w:t>
            </w:r>
          </w:p>
        </w:tc>
      </w:tr>
      <w:tr>
        <w:trPr>
          <w:cantSplit/>
        </w:trPr>
        <w:tc>
          <w:tcPr>
            <w:tcW w:type="dxa" w:w="720"/>
            <w:vAlign w:val="center"/>
          </w:tcPr>
          <w:p>
            <w:r/>
            <w:r>
              <w:rPr>
                <w:rFonts w:ascii="Aptos" w:hAnsi="Aptos"/>
                <w:b w:val="0"/>
                <w:sz w:val="15"/>
              </w:rPr>
              <w:t>A5</w:t>
            </w:r>
          </w:p>
        </w:tc>
        <w:tc>
          <w:tcPr>
            <w:tcW w:type="dxa" w:w="8064"/>
            <w:vAlign w:val="center"/>
          </w:tcPr>
          <w:p>
            <w:r/>
            <w:r>
              <w:rPr>
                <w:rFonts w:ascii="Aptos" w:hAnsi="Aptos"/>
                <w:b w:val="0"/>
                <w:sz w:val="15"/>
              </w:rPr>
              <w:t>Canada/US cross-border and multi-legal-entity requirements are material.</w:t>
            </w:r>
          </w:p>
        </w:tc>
        <w:tc>
          <w:tcPr>
            <w:tcW w:type="dxa" w:w="2016"/>
            <w:vAlign w:val="center"/>
          </w:tcPr>
          <w:p>
            <w:r/>
            <w:r>
              <w:rPr>
                <w:rFonts w:ascii="Aptos" w:hAnsi="Aptos"/>
                <w:b w:val="0"/>
                <w:sz w:val="15"/>
              </w:rPr>
              <w:t>Working assumption</w:t>
            </w:r>
          </w:p>
        </w:tc>
      </w:tr>
      <w:tr>
        <w:trPr>
          <w:cantSplit/>
        </w:trPr>
        <w:tc>
          <w:tcPr>
            <w:tcW w:type="dxa" w:w="720"/>
            <w:vAlign w:val="center"/>
          </w:tcPr>
          <w:p>
            <w:r/>
            <w:r>
              <w:rPr>
                <w:rFonts w:ascii="Aptos" w:hAnsi="Aptos"/>
                <w:b w:val="0"/>
                <w:sz w:val="15"/>
              </w:rPr>
              <w:t>A6</w:t>
            </w:r>
          </w:p>
        </w:tc>
        <w:tc>
          <w:tcPr>
            <w:tcW w:type="dxa" w:w="8064"/>
            <w:vAlign w:val="center"/>
          </w:tcPr>
          <w:p>
            <w:r/>
            <w:r>
              <w:rPr>
                <w:rFonts w:ascii="Aptos" w:hAnsi="Aptos"/>
                <w:b w:val="0"/>
                <w:sz w:val="15"/>
              </w:rPr>
              <w:t>POD, delivery date, taxes, accruals, settlement and audit traceability are mandatory assessment subjects.</w:t>
            </w:r>
          </w:p>
        </w:tc>
        <w:tc>
          <w:tcPr>
            <w:tcW w:type="dxa" w:w="2016"/>
            <w:vAlign w:val="center"/>
          </w:tcPr>
          <w:p>
            <w:r/>
            <w:r>
              <w:rPr>
                <w:rFonts w:ascii="Aptos" w:hAnsi="Aptos"/>
                <w:b w:val="0"/>
                <w:sz w:val="15"/>
              </w:rPr>
              <w:t>Supported by internal evidence</w:t>
            </w:r>
          </w:p>
        </w:tc>
      </w:tr>
      <w:tr>
        <w:trPr>
          <w:cantSplit/>
        </w:trPr>
        <w:tc>
          <w:tcPr>
            <w:tcW w:type="dxa" w:w="720"/>
            <w:vAlign w:val="center"/>
          </w:tcPr>
          <w:p>
            <w:r/>
            <w:r>
              <w:rPr>
                <w:rFonts w:ascii="Aptos" w:hAnsi="Aptos"/>
                <w:b w:val="0"/>
                <w:sz w:val="15"/>
              </w:rPr>
              <w:t>A7</w:t>
            </w:r>
          </w:p>
        </w:tc>
        <w:tc>
          <w:tcPr>
            <w:tcW w:type="dxa" w:w="8064"/>
            <w:vAlign w:val="center"/>
          </w:tcPr>
          <w:p>
            <w:r/>
            <w:r>
              <w:rPr>
                <w:rFonts w:ascii="Aptos" w:hAnsi="Aptos"/>
                <w:b w:val="0"/>
                <w:sz w:val="15"/>
              </w:rPr>
              <w:t>A modular TMS plus specialist-services architecture may compete against a single suite.</w:t>
            </w:r>
          </w:p>
        </w:tc>
        <w:tc>
          <w:tcPr>
            <w:tcW w:type="dxa" w:w="2016"/>
            <w:vAlign w:val="center"/>
          </w:tcPr>
          <w:p>
            <w:r/>
            <w:r>
              <w:rPr>
                <w:rFonts w:ascii="Aptos" w:hAnsi="Aptos"/>
                <w:b w:val="0"/>
                <w:sz w:val="15"/>
              </w:rPr>
              <w:t>Adopted</w:t>
            </w:r>
          </w:p>
        </w:tc>
      </w:tr>
      <w:tr>
        <w:trPr>
          <w:cantSplit/>
        </w:trPr>
        <w:tc>
          <w:tcPr>
            <w:tcW w:type="dxa" w:w="720"/>
            <w:vAlign w:val="center"/>
          </w:tcPr>
          <w:p>
            <w:r/>
            <w:r>
              <w:rPr>
                <w:rFonts w:ascii="Aptos" w:hAnsi="Aptos"/>
                <w:b w:val="0"/>
                <w:sz w:val="15"/>
              </w:rPr>
              <w:t>A8</w:t>
            </w:r>
          </w:p>
        </w:tc>
        <w:tc>
          <w:tcPr>
            <w:tcW w:type="dxa" w:w="8064"/>
            <w:vAlign w:val="center"/>
          </w:tcPr>
          <w:p>
            <w:r/>
            <w:r>
              <w:rPr>
                <w:rFonts w:ascii="Aptos" w:hAnsi="Aptos"/>
                <w:b w:val="0"/>
                <w:sz w:val="15"/>
              </w:rPr>
              <w:t>Current issues are classified as product, configuration, integration, data, process, user adoption, operations or governance.</w:t>
            </w:r>
          </w:p>
        </w:tc>
        <w:tc>
          <w:tcPr>
            <w:tcW w:type="dxa" w:w="2016"/>
            <w:vAlign w:val="center"/>
          </w:tcPr>
          <w:p>
            <w:r/>
            <w:r>
              <w:rPr>
                <w:rFonts w:ascii="Aptos" w:hAnsi="Aptos"/>
                <w:b w:val="0"/>
                <w:sz w:val="15"/>
              </w:rPr>
              <w:t>Adopted</w:t>
            </w:r>
          </w:p>
        </w:tc>
      </w:tr>
      <w:tr>
        <w:trPr>
          <w:cantSplit/>
        </w:trPr>
        <w:tc>
          <w:tcPr>
            <w:tcW w:type="dxa" w:w="720"/>
            <w:vAlign w:val="center"/>
          </w:tcPr>
          <w:p>
            <w:r/>
            <w:r>
              <w:rPr>
                <w:rFonts w:ascii="Aptos" w:hAnsi="Aptos"/>
                <w:b w:val="0"/>
                <w:sz w:val="15"/>
              </w:rPr>
              <w:t>A9</w:t>
            </w:r>
          </w:p>
        </w:tc>
        <w:tc>
          <w:tcPr>
            <w:tcW w:type="dxa" w:w="8064"/>
            <w:vAlign w:val="center"/>
          </w:tcPr>
          <w:p>
            <w:r/>
            <w:r>
              <w:rPr>
                <w:rFonts w:ascii="Aptos" w:hAnsi="Aptos"/>
                <w:b w:val="0"/>
                <w:sz w:val="15"/>
              </w:rPr>
              <w:t>Vendor marketing claims receive no full credit without evidence.</w:t>
            </w:r>
          </w:p>
        </w:tc>
        <w:tc>
          <w:tcPr>
            <w:tcW w:type="dxa" w:w="2016"/>
            <w:vAlign w:val="center"/>
          </w:tcPr>
          <w:p>
            <w:r/>
            <w:r>
              <w:rPr>
                <w:rFonts w:ascii="Aptos" w:hAnsi="Aptos"/>
                <w:b w:val="0"/>
                <w:sz w:val="15"/>
              </w:rPr>
              <w:t>Adopted</w:t>
            </w:r>
          </w:p>
        </w:tc>
      </w:tr>
      <w:tr>
        <w:trPr>
          <w:cantSplit/>
        </w:trPr>
        <w:tc>
          <w:tcPr>
            <w:tcW w:type="dxa" w:w="720"/>
            <w:vAlign w:val="center"/>
          </w:tcPr>
          <w:p>
            <w:r/>
            <w:r>
              <w:rPr>
                <w:rFonts w:ascii="Aptos" w:hAnsi="Aptos"/>
                <w:b w:val="0"/>
                <w:sz w:val="15"/>
              </w:rPr>
              <w:t>A10</w:t>
            </w:r>
          </w:p>
        </w:tc>
        <w:tc>
          <w:tcPr>
            <w:tcW w:type="dxa" w:w="8064"/>
            <w:vAlign w:val="center"/>
          </w:tcPr>
          <w:p>
            <w:r/>
            <w:r>
              <w:rPr>
                <w:rFonts w:ascii="Aptos" w:hAnsi="Aptos"/>
                <w:b w:val="0"/>
                <w:sz w:val="15"/>
              </w:rPr>
              <w:t>The final recommendation compares architecture combinations as well as individual vendors.</w:t>
            </w:r>
          </w:p>
        </w:tc>
        <w:tc>
          <w:tcPr>
            <w:tcW w:type="dxa" w:w="2016"/>
            <w:vAlign w:val="center"/>
          </w:tcPr>
          <w:p>
            <w:r/>
            <w:r>
              <w:rPr>
                <w:rFonts w:ascii="Aptos" w:hAnsi="Aptos"/>
                <w:b w:val="0"/>
                <w:sz w:val="15"/>
              </w:rPr>
              <w:t>Adopted</w:t>
            </w:r>
          </w:p>
        </w:tc>
      </w:tr>
    </w:tbl>
    <w:p>
      <w:pPr>
        <w:spacing w:after="20"/>
      </w:pPr>
    </w:p>
    <w:p>
      <w:pPr>
        <w:pStyle w:val="Heading2"/>
      </w:pPr>
      <w:r>
        <w:t>2.2 Guiding principles</w:t>
      </w:r>
    </w:p>
    <w:p>
      <w:pPr>
        <w:pStyle w:val="ListBullet"/>
        <w:spacing w:after="20"/>
      </w:pPr>
      <w:r>
        <w:t>Evaluate business scenarios and outcomes, not isolated feature checkboxes.</w:t>
      </w:r>
    </w:p>
    <w:p>
      <w:pPr>
        <w:pStyle w:val="ListBullet"/>
        <w:spacing w:after="20"/>
      </w:pPr>
      <w:r>
        <w:t>Separate verified facts, assumptions, recommendations and unresolved questions.</w:t>
      </w:r>
    </w:p>
    <w:p>
      <w:pPr>
        <w:pStyle w:val="ListBullet"/>
        <w:spacing w:after="20"/>
      </w:pPr>
      <w:r>
        <w:t>Distinguish native capability from configuration, partner solution, customization, integration dependency and manual workaround.</w:t>
      </w:r>
    </w:p>
    <w:p>
      <w:pPr>
        <w:pStyle w:val="ListBullet"/>
        <w:spacing w:after="20"/>
      </w:pPr>
      <w:r>
        <w:t>Measure operational supportability, reconciliation and recoverability as first-class requirements.</w:t>
      </w:r>
    </w:p>
    <w:p>
      <w:pPr>
        <w:pStyle w:val="ListBullet"/>
        <w:spacing w:after="20"/>
      </w:pPr>
      <w:r>
        <w:t>Require scenario-based validation using representative Interfor data and process conditions.</w:t>
      </w:r>
    </w:p>
    <w:p>
      <w:pPr>
        <w:pStyle w:val="ListBullet"/>
        <w:spacing w:after="20"/>
      </w:pPr>
      <w:r>
        <w:t>Preserve auditability, transaction lineage and data portability in any target architecture.</w:t>
      </w:r>
    </w:p>
    <w:p>
      <w:pPr>
        <w:pStyle w:val="ListBullet"/>
        <w:spacing w:after="20"/>
      </w:pPr>
      <w:r>
        <w:t>Do not allow advanced AI or user-interface features to compensate for missing financial, integration or operational controls.</w:t>
      </w:r>
    </w:p>
    <w:p>
      <w:r>
        <w:br w:type="page"/>
      </w:r>
    </w:p>
    <w:p>
      <w:pPr>
        <w:pStyle w:val="Heading1"/>
      </w:pPr>
      <w:r>
        <w:t>3. Proposed 360-Degree Assessment Framework</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880"/>
            <w:vAlign w:val="center"/>
            <w:shd w:fill="123A5A"/>
          </w:tcPr>
          <w:p>
            <w:r/>
            <w:r>
              <w:rPr>
                <w:rFonts w:ascii="Aptos" w:hAnsi="Aptos"/>
                <w:b/>
                <w:color w:val="FFFFFF"/>
                <w:sz w:val="16"/>
              </w:rPr>
              <w:t>Assessment layer</w:t>
            </w:r>
          </w:p>
        </w:tc>
        <w:tc>
          <w:tcPr>
            <w:tcW w:type="dxa" w:w="1440"/>
            <w:vAlign w:val="center"/>
            <w:shd w:fill="123A5A"/>
          </w:tcPr>
          <w:p>
            <w:r/>
            <w:r>
              <w:rPr>
                <w:rFonts w:ascii="Aptos" w:hAnsi="Aptos"/>
                <w:b/>
                <w:color w:val="FFFFFF"/>
                <w:sz w:val="16"/>
              </w:rPr>
              <w:t>Initial weight</w:t>
            </w:r>
          </w:p>
        </w:tc>
        <w:tc>
          <w:tcPr>
            <w:tcW w:type="dxa" w:w="6480"/>
            <w:vAlign w:val="center"/>
            <w:shd w:fill="123A5A"/>
          </w:tcPr>
          <w:p>
            <w:r/>
            <w:r>
              <w:rPr>
                <w:rFonts w:ascii="Aptos" w:hAnsi="Aptos"/>
                <w:b/>
                <w:color w:val="FFFFFF"/>
                <w:sz w:val="16"/>
              </w:rPr>
              <w:t>Primary decision question</w:t>
            </w:r>
          </w:p>
        </w:tc>
      </w:tr>
      <w:tr>
        <w:trPr>
          <w:cantSplit/>
        </w:trPr>
        <w:tc>
          <w:tcPr>
            <w:tcW w:type="dxa" w:w="2880"/>
            <w:vAlign w:val="center"/>
          </w:tcPr>
          <w:p>
            <w:r/>
            <w:r>
              <w:rPr>
                <w:rFonts w:ascii="Aptos" w:hAnsi="Aptos"/>
                <w:b w:val="0"/>
                <w:sz w:val="16"/>
              </w:rPr>
              <w:t>Business strategy fit</w:t>
            </w:r>
          </w:p>
        </w:tc>
        <w:tc>
          <w:tcPr>
            <w:tcW w:type="dxa" w:w="1440"/>
            <w:vAlign w:val="center"/>
          </w:tcPr>
          <w:p>
            <w:r/>
            <w:r>
              <w:rPr>
                <w:rFonts w:ascii="Aptos" w:hAnsi="Aptos"/>
                <w:b w:val="0"/>
                <w:sz w:val="16"/>
              </w:rPr>
              <w:t>15%</w:t>
            </w:r>
          </w:p>
        </w:tc>
        <w:tc>
          <w:tcPr>
            <w:tcW w:type="dxa" w:w="6480"/>
            <w:vAlign w:val="center"/>
          </w:tcPr>
          <w:p>
            <w:r/>
            <w:r>
              <w:rPr>
                <w:rFonts w:ascii="Aptos" w:hAnsi="Aptos"/>
                <w:b w:val="0"/>
                <w:sz w:val="16"/>
              </w:rPr>
              <w:t>Does the option support Interfor growth, operating model and future direction?</w:t>
            </w:r>
          </w:p>
        </w:tc>
      </w:tr>
      <w:tr>
        <w:trPr>
          <w:cantSplit/>
        </w:trPr>
        <w:tc>
          <w:tcPr>
            <w:tcW w:type="dxa" w:w="2880"/>
            <w:vAlign w:val="center"/>
          </w:tcPr>
          <w:p>
            <w:r/>
            <w:r>
              <w:rPr>
                <w:rFonts w:ascii="Aptos" w:hAnsi="Aptos"/>
                <w:b w:val="0"/>
                <w:sz w:val="16"/>
              </w:rPr>
              <w:t>Transportation functional fit</w:t>
            </w:r>
          </w:p>
        </w:tc>
        <w:tc>
          <w:tcPr>
            <w:tcW w:type="dxa" w:w="1440"/>
            <w:vAlign w:val="center"/>
          </w:tcPr>
          <w:p>
            <w:r/>
            <w:r>
              <w:rPr>
                <w:rFonts w:ascii="Aptos" w:hAnsi="Aptos"/>
                <w:b w:val="0"/>
                <w:sz w:val="16"/>
              </w:rPr>
              <w:t>25%</w:t>
            </w:r>
          </w:p>
        </w:tc>
        <w:tc>
          <w:tcPr>
            <w:tcW w:type="dxa" w:w="6480"/>
            <w:vAlign w:val="center"/>
          </w:tcPr>
          <w:p>
            <w:r/>
            <w:r>
              <w:rPr>
                <w:rFonts w:ascii="Aptos" w:hAnsi="Aptos"/>
                <w:b w:val="0"/>
                <w:sz w:val="16"/>
              </w:rPr>
              <w:t>Can it execute Interfor Truck and Rail scenarios?</w:t>
            </w:r>
          </w:p>
        </w:tc>
      </w:tr>
      <w:tr>
        <w:trPr>
          <w:cantSplit/>
        </w:trPr>
        <w:tc>
          <w:tcPr>
            <w:tcW w:type="dxa" w:w="2880"/>
            <w:vAlign w:val="center"/>
          </w:tcPr>
          <w:p>
            <w:r/>
            <w:r>
              <w:rPr>
                <w:rFonts w:ascii="Aptos" w:hAnsi="Aptos"/>
                <w:b w:val="0"/>
                <w:sz w:val="16"/>
              </w:rPr>
              <w:t>Financial, compliance and audit</w:t>
            </w:r>
          </w:p>
        </w:tc>
        <w:tc>
          <w:tcPr>
            <w:tcW w:type="dxa" w:w="1440"/>
            <w:vAlign w:val="center"/>
          </w:tcPr>
          <w:p>
            <w:r/>
            <w:r>
              <w:rPr>
                <w:rFonts w:ascii="Aptos" w:hAnsi="Aptos"/>
                <w:b w:val="0"/>
                <w:sz w:val="16"/>
              </w:rPr>
              <w:t>15%</w:t>
            </w:r>
          </w:p>
        </w:tc>
        <w:tc>
          <w:tcPr>
            <w:tcW w:type="dxa" w:w="6480"/>
            <w:vAlign w:val="center"/>
          </w:tcPr>
          <w:p>
            <w:r/>
            <w:r>
              <w:rPr>
                <w:rFonts w:ascii="Aptos" w:hAnsi="Aptos"/>
                <w:b w:val="0"/>
                <w:sz w:val="16"/>
              </w:rPr>
              <w:t>Can it control accrual, settlement, tax, evidence and legal-entity outcomes?</w:t>
            </w:r>
          </w:p>
        </w:tc>
      </w:tr>
      <w:tr>
        <w:trPr>
          <w:cantSplit/>
        </w:trPr>
        <w:tc>
          <w:tcPr>
            <w:tcW w:type="dxa" w:w="2880"/>
            <w:vAlign w:val="center"/>
          </w:tcPr>
          <w:p>
            <w:r/>
            <w:r>
              <w:rPr>
                <w:rFonts w:ascii="Aptos" w:hAnsi="Aptos"/>
                <w:b w:val="0"/>
                <w:sz w:val="16"/>
              </w:rPr>
              <w:t>Technical architecture</w:t>
            </w:r>
          </w:p>
        </w:tc>
        <w:tc>
          <w:tcPr>
            <w:tcW w:type="dxa" w:w="1440"/>
            <w:vAlign w:val="center"/>
          </w:tcPr>
          <w:p>
            <w:r/>
            <w:r>
              <w:rPr>
                <w:rFonts w:ascii="Aptos" w:hAnsi="Aptos"/>
                <w:b w:val="0"/>
                <w:sz w:val="16"/>
              </w:rPr>
              <w:t>15%</w:t>
            </w:r>
          </w:p>
        </w:tc>
        <w:tc>
          <w:tcPr>
            <w:tcW w:type="dxa" w:w="6480"/>
            <w:vAlign w:val="center"/>
          </w:tcPr>
          <w:p>
            <w:r/>
            <w:r>
              <w:rPr>
                <w:rFonts w:ascii="Aptos" w:hAnsi="Aptos"/>
                <w:b w:val="0"/>
                <w:sz w:val="16"/>
              </w:rPr>
              <w:t>Can it integrate, scale, secure and evolve without fragile customization?</w:t>
            </w:r>
          </w:p>
        </w:tc>
      </w:tr>
      <w:tr>
        <w:trPr>
          <w:cantSplit/>
        </w:trPr>
        <w:tc>
          <w:tcPr>
            <w:tcW w:type="dxa" w:w="2880"/>
            <w:vAlign w:val="center"/>
          </w:tcPr>
          <w:p>
            <w:r/>
            <w:r>
              <w:rPr>
                <w:rFonts w:ascii="Aptos" w:hAnsi="Aptos"/>
                <w:b w:val="0"/>
                <w:sz w:val="16"/>
              </w:rPr>
              <w:t>Operational excellence</w:t>
            </w:r>
          </w:p>
        </w:tc>
        <w:tc>
          <w:tcPr>
            <w:tcW w:type="dxa" w:w="1440"/>
            <w:vAlign w:val="center"/>
          </w:tcPr>
          <w:p>
            <w:r/>
            <w:r>
              <w:rPr>
                <w:rFonts w:ascii="Aptos" w:hAnsi="Aptos"/>
                <w:b w:val="0"/>
                <w:sz w:val="16"/>
              </w:rPr>
              <w:t>10%</w:t>
            </w:r>
          </w:p>
        </w:tc>
        <w:tc>
          <w:tcPr>
            <w:tcW w:type="dxa" w:w="6480"/>
            <w:vAlign w:val="center"/>
          </w:tcPr>
          <w:p>
            <w:r/>
            <w:r>
              <w:rPr>
                <w:rFonts w:ascii="Aptos" w:hAnsi="Aptos"/>
                <w:b w:val="0"/>
                <w:sz w:val="16"/>
              </w:rPr>
              <w:t>Can Interfor monitor, reconcile, recover, test and support it?</w:t>
            </w:r>
          </w:p>
        </w:tc>
      </w:tr>
      <w:tr>
        <w:trPr>
          <w:cantSplit/>
        </w:trPr>
        <w:tc>
          <w:tcPr>
            <w:tcW w:type="dxa" w:w="2880"/>
            <w:vAlign w:val="center"/>
          </w:tcPr>
          <w:p>
            <w:r/>
            <w:r>
              <w:rPr>
                <w:rFonts w:ascii="Aptos" w:hAnsi="Aptos"/>
                <w:b w:val="0"/>
                <w:sz w:val="16"/>
              </w:rPr>
              <w:t>Vendor and product</w:t>
            </w:r>
          </w:p>
        </w:tc>
        <w:tc>
          <w:tcPr>
            <w:tcW w:type="dxa" w:w="1440"/>
            <w:vAlign w:val="center"/>
          </w:tcPr>
          <w:p>
            <w:r/>
            <w:r>
              <w:rPr>
                <w:rFonts w:ascii="Aptos" w:hAnsi="Aptos"/>
                <w:b w:val="0"/>
                <w:sz w:val="16"/>
              </w:rPr>
              <w:t>10%</w:t>
            </w:r>
          </w:p>
        </w:tc>
        <w:tc>
          <w:tcPr>
            <w:tcW w:type="dxa" w:w="6480"/>
            <w:vAlign w:val="center"/>
          </w:tcPr>
          <w:p>
            <w:r/>
            <w:r>
              <w:rPr>
                <w:rFonts w:ascii="Aptos" w:hAnsi="Aptos"/>
                <w:b w:val="0"/>
                <w:sz w:val="16"/>
              </w:rPr>
              <w:t>Is the vendor viable, responsive and aligned to the required market?</w:t>
            </w:r>
          </w:p>
        </w:tc>
      </w:tr>
      <w:tr>
        <w:trPr>
          <w:cantSplit/>
        </w:trPr>
        <w:tc>
          <w:tcPr>
            <w:tcW w:type="dxa" w:w="2880"/>
            <w:vAlign w:val="center"/>
          </w:tcPr>
          <w:p>
            <w:r/>
            <w:r>
              <w:rPr>
                <w:rFonts w:ascii="Aptos" w:hAnsi="Aptos"/>
                <w:b w:val="0"/>
                <w:sz w:val="16"/>
              </w:rPr>
              <w:t>Total cost of ownership</w:t>
            </w:r>
          </w:p>
        </w:tc>
        <w:tc>
          <w:tcPr>
            <w:tcW w:type="dxa" w:w="1440"/>
            <w:vAlign w:val="center"/>
          </w:tcPr>
          <w:p>
            <w:r/>
            <w:r>
              <w:rPr>
                <w:rFonts w:ascii="Aptos" w:hAnsi="Aptos"/>
                <w:b w:val="0"/>
                <w:sz w:val="16"/>
              </w:rPr>
              <w:t>10%</w:t>
            </w:r>
          </w:p>
        </w:tc>
        <w:tc>
          <w:tcPr>
            <w:tcW w:type="dxa" w:w="6480"/>
            <w:vAlign w:val="center"/>
          </w:tcPr>
          <w:p>
            <w:r/>
            <w:r>
              <w:rPr>
                <w:rFonts w:ascii="Aptos" w:hAnsi="Aptos"/>
                <w:b w:val="0"/>
                <w:sz w:val="16"/>
              </w:rPr>
              <w:t>Is the five-to-ten-year cost proportionate to value and risk?</w:t>
            </w:r>
          </w:p>
        </w:tc>
      </w:tr>
      <w:tr>
        <w:trPr>
          <w:cantSplit/>
        </w:trPr>
        <w:tc>
          <w:tcPr>
            <w:tcW w:type="dxa" w:w="2880"/>
            <w:vAlign w:val="center"/>
          </w:tcPr>
          <w:p>
            <w:r/>
            <w:r>
              <w:rPr>
                <w:rFonts w:ascii="Aptos" w:hAnsi="Aptos"/>
                <w:b w:val="0"/>
                <w:sz w:val="16"/>
              </w:rPr>
              <w:t>Transformation risk</w:t>
            </w:r>
          </w:p>
        </w:tc>
        <w:tc>
          <w:tcPr>
            <w:tcW w:type="dxa" w:w="1440"/>
            <w:vAlign w:val="center"/>
          </w:tcPr>
          <w:p>
            <w:r/>
            <w:r>
              <w:rPr>
                <w:rFonts w:ascii="Aptos" w:hAnsi="Aptos"/>
                <w:b w:val="0"/>
                <w:sz w:val="16"/>
              </w:rPr>
              <w:t>Gate</w:t>
            </w:r>
          </w:p>
        </w:tc>
        <w:tc>
          <w:tcPr>
            <w:tcW w:type="dxa" w:w="6480"/>
            <w:vAlign w:val="center"/>
          </w:tcPr>
          <w:p>
            <w:r/>
            <w:r>
              <w:rPr>
                <w:rFonts w:ascii="Aptos" w:hAnsi="Aptos"/>
                <w:b w:val="0"/>
                <w:sz w:val="16"/>
              </w:rPr>
              <w:t>Can Interfor migrate without unacceptable operational, financial or carrier disruption?</w:t>
            </w:r>
          </w:p>
        </w:tc>
      </w:tr>
    </w:tbl>
    <w:p>
      <w:pPr>
        <w:spacing w:after="20"/>
      </w:pPr>
    </w:p>
    <w:p>
      <w:pPr>
        <w:pStyle w:val="Heading2"/>
      </w:pPr>
      <w:r>
        <w:t>3.1 Business strategy fit</w:t>
      </w:r>
    </w:p>
    <w:p>
      <w:pPr>
        <w:pStyle w:val="ListBullet"/>
        <w:spacing w:after="20"/>
      </w:pPr>
      <w:r>
        <w:t>Growth, acquisitions, new mills and new regions</w:t>
      </w:r>
    </w:p>
    <w:p>
      <w:pPr>
        <w:pStyle w:val="ListBullet"/>
        <w:spacing w:after="20"/>
      </w:pPr>
      <w:r>
        <w:t>Regional autonomy versus centralized planning</w:t>
      </w:r>
    </w:p>
    <w:p>
      <w:pPr>
        <w:pStyle w:val="ListBullet"/>
        <w:spacing w:after="20"/>
      </w:pPr>
      <w:r>
        <w:t>Canada/US and future geographic requirements</w:t>
      </w:r>
    </w:p>
    <w:p>
      <w:pPr>
        <w:pStyle w:val="ListBullet"/>
        <w:spacing w:after="20"/>
      </w:pPr>
      <w:r>
        <w:t>Control-tower, predictive visibility, optimization and sustainability direction</w:t>
      </w:r>
    </w:p>
    <w:p>
      <w:pPr>
        <w:pStyle w:val="ListBullet"/>
        <w:spacing w:after="20"/>
      </w:pPr>
      <w:r>
        <w:t>Architecture adaptability over five to ten years</w:t>
      </w:r>
    </w:p>
    <w:p>
      <w:pPr>
        <w:pStyle w:val="Heading2"/>
      </w:pPr>
      <w:r>
        <w:t>3.2 Transportation functional fit</w:t>
      </w:r>
    </w:p>
    <w:p>
      <w:pPr>
        <w:pStyle w:val="ListBullet"/>
        <w:spacing w:after="20"/>
      </w:pPr>
      <w:r>
        <w:t>Truck planning, procurement, tendering, execution, visibility, appointments, POD and settlement</w:t>
      </w:r>
    </w:p>
    <w:p>
      <w:pPr>
        <w:pStyle w:val="ListBullet"/>
        <w:spacing w:after="20"/>
      </w:pPr>
      <w:r>
        <w:t>Rail demand, equipment, routing, waybilling, event visibility, demurrage, yard and settlement</w:t>
      </w:r>
    </w:p>
    <w:p>
      <w:pPr>
        <w:pStyle w:val="ListBullet"/>
        <w:spacing w:after="20"/>
      </w:pPr>
      <w:r>
        <w:t>Cross-mode process consistency without forcing identical operating models</w:t>
      </w:r>
    </w:p>
    <w:p>
      <w:pPr>
        <w:pStyle w:val="Heading2"/>
      </w:pPr>
      <w:r>
        <w:t>3.3 Financial, compliance and audit</w:t>
      </w:r>
    </w:p>
    <w:p>
      <w:pPr>
        <w:pStyle w:val="ListBullet"/>
        <w:spacing w:after="20"/>
      </w:pPr>
      <w:r>
        <w:t>Costs and accruals</w:t>
      </w:r>
    </w:p>
    <w:p>
      <w:pPr>
        <w:pStyle w:val="ListBullet"/>
        <w:spacing w:after="20"/>
      </w:pPr>
      <w:r>
        <w:t>Freight audit and disputes</w:t>
      </w:r>
    </w:p>
    <w:p>
      <w:pPr>
        <w:pStyle w:val="ListBullet"/>
        <w:spacing w:after="20"/>
      </w:pPr>
      <w:r>
        <w:t>Self-billing and carrier invoicing</w:t>
      </w:r>
    </w:p>
    <w:p>
      <w:pPr>
        <w:pStyle w:val="ListBullet"/>
        <w:spacing w:after="20"/>
      </w:pPr>
      <w:r>
        <w:t>Invoice date versus posting date</w:t>
      </w:r>
    </w:p>
    <w:p>
      <w:pPr>
        <w:pStyle w:val="ListBullet"/>
        <w:spacing w:after="20"/>
      </w:pPr>
      <w:r>
        <w:t>Tax and legal-entity assignment</w:t>
      </w:r>
    </w:p>
    <w:p>
      <w:pPr>
        <w:pStyle w:val="ListBullet"/>
        <w:spacing w:after="20"/>
      </w:pPr>
      <w:r>
        <w:t>POD and delivery evidence</w:t>
      </w:r>
    </w:p>
    <w:p>
      <w:pPr>
        <w:pStyle w:val="ListBullet"/>
        <w:spacing w:after="20"/>
      </w:pPr>
      <w:r>
        <w:t>Reversal, correction, replay and audit trail</w:t>
      </w:r>
    </w:p>
    <w:p>
      <w:pPr>
        <w:pStyle w:val="Heading2"/>
      </w:pPr>
      <w:r>
        <w:t>3.4 Technical architecture</w:t>
      </w:r>
    </w:p>
    <w:p>
      <w:pPr>
        <w:pStyle w:val="ListBullet"/>
        <w:spacing w:after="20"/>
      </w:pPr>
      <w:r>
        <w:t>APIs, messaging, EDI and file integration</w:t>
      </w:r>
    </w:p>
    <w:p>
      <w:pPr>
        <w:pStyle w:val="ListBullet"/>
        <w:spacing w:after="20"/>
      </w:pPr>
      <w:r>
        <w:t>Data ownership, lineage, matching and reconciliation</w:t>
      </w:r>
    </w:p>
    <w:p>
      <w:pPr>
        <w:pStyle w:val="ListBullet"/>
        <w:spacing w:after="20"/>
      </w:pPr>
      <w:r>
        <w:t>Security, SSO, roles and segregation of duties</w:t>
      </w:r>
    </w:p>
    <w:p>
      <w:pPr>
        <w:pStyle w:val="ListBullet"/>
        <w:spacing w:after="20"/>
      </w:pPr>
      <w:r>
        <w:t>Configuration and upgrade-safe extensibility</w:t>
      </w:r>
    </w:p>
    <w:p>
      <w:pPr>
        <w:pStyle w:val="ListBullet"/>
        <w:spacing w:after="20"/>
      </w:pPr>
      <w:r>
        <w:t>Performance, availability and disaster recovery</w:t>
      </w:r>
    </w:p>
    <w:p>
      <w:pPr>
        <w:pStyle w:val="Heading2"/>
      </w:pPr>
      <w:r>
        <w:t>3.5 Operational excellence</w:t>
      </w:r>
    </w:p>
    <w:p>
      <w:pPr>
        <w:pStyle w:val="ListBullet"/>
        <w:spacing w:after="20"/>
      </w:pPr>
      <w:r>
        <w:t>Environment independence and refresh</w:t>
      </w:r>
    </w:p>
    <w:p>
      <w:pPr>
        <w:pStyle w:val="ListBullet"/>
        <w:spacing w:after="20"/>
      </w:pPr>
      <w:r>
        <w:t>Release and regression management</w:t>
      </w:r>
    </w:p>
    <w:p>
      <w:pPr>
        <w:pStyle w:val="ListBullet"/>
        <w:spacing w:after="20"/>
      </w:pPr>
      <w:r>
        <w:t>Monitoring and actionable alerting</w:t>
      </w:r>
    </w:p>
    <w:p>
      <w:pPr>
        <w:pStyle w:val="ListBullet"/>
        <w:spacing w:after="20"/>
      </w:pPr>
      <w:r>
        <w:t>Incident, problem and vendor escalation</w:t>
      </w:r>
    </w:p>
    <w:p>
      <w:pPr>
        <w:pStyle w:val="ListBullet"/>
        <w:spacing w:after="20"/>
      </w:pPr>
      <w:r>
        <w:t>Replay, resubmission and reconciliation</w:t>
      </w:r>
    </w:p>
    <w:p>
      <w:pPr>
        <w:pStyle w:val="ListBullet"/>
        <w:spacing w:after="20"/>
      </w:pPr>
      <w:r>
        <w:t>Knowledge transfer and runbook quality</w:t>
      </w:r>
    </w:p>
    <w:p>
      <w:pPr>
        <w:pStyle w:val="Heading2"/>
      </w:pPr>
      <w:r>
        <w:t>3.6 Vendor and commercial assessment</w:t>
      </w:r>
    </w:p>
    <w:p>
      <w:pPr>
        <w:pStyle w:val="ListBullet"/>
        <w:spacing w:after="20"/>
      </w:pPr>
      <w:r>
        <w:t>Product viability and roadmap</w:t>
      </w:r>
    </w:p>
    <w:p>
      <w:pPr>
        <w:pStyle w:val="ListBullet"/>
        <w:spacing w:after="20"/>
      </w:pPr>
      <w:r>
        <w:t>Truck, Rail and forest-products relevance</w:t>
      </w:r>
    </w:p>
    <w:p>
      <w:pPr>
        <w:pStyle w:val="ListBullet"/>
        <w:spacing w:after="20"/>
      </w:pPr>
      <w:r>
        <w:t>Implementation ecosystem and support model</w:t>
      </w:r>
    </w:p>
    <w:p>
      <w:pPr>
        <w:pStyle w:val="ListBullet"/>
        <w:spacing w:after="20"/>
      </w:pPr>
      <w:r>
        <w:t>Contract, data ownership and exit rights</w:t>
      </w:r>
    </w:p>
    <w:p>
      <w:pPr>
        <w:pStyle w:val="ListBullet"/>
        <w:spacing w:after="20"/>
      </w:pPr>
      <w:r>
        <w:t>Transparent subscription and transaction pricing</w:t>
      </w:r>
    </w:p>
    <w:p>
      <w:pPr>
        <w:pStyle w:val="Heading2"/>
      </w:pPr>
      <w:r>
        <w:t>3.7 Transformation risk gate</w:t>
      </w:r>
    </w:p>
    <w:p>
      <w:pPr>
        <w:pStyle w:val="ListBullet"/>
        <w:spacing w:after="20"/>
      </w:pPr>
      <w:r>
        <w:t>Carrier onboarding and cutover</w:t>
      </w:r>
    </w:p>
    <w:p>
      <w:pPr>
        <w:pStyle w:val="ListBullet"/>
        <w:spacing w:after="20"/>
      </w:pPr>
      <w:r>
        <w:t>Historical data and document retention</w:t>
      </w:r>
    </w:p>
    <w:p>
      <w:pPr>
        <w:pStyle w:val="ListBullet"/>
        <w:spacing w:after="20"/>
      </w:pPr>
      <w:r>
        <w:t>Interface rebuild and parallel operation</w:t>
      </w:r>
    </w:p>
    <w:p>
      <w:pPr>
        <w:pStyle w:val="ListBullet"/>
        <w:spacing w:after="20"/>
      </w:pPr>
      <w:r>
        <w:t>Finance reconciliation and period controls</w:t>
      </w:r>
    </w:p>
    <w:p>
      <w:pPr>
        <w:pStyle w:val="ListBullet"/>
        <w:spacing w:after="20"/>
      </w:pPr>
      <w:r>
        <w:t>Regional rollout and business continuity</w:t>
      </w:r>
    </w:p>
    <w:p>
      <w:pPr>
        <w:pStyle w:val="ListBullet"/>
        <w:spacing w:after="20"/>
      </w:pPr>
      <w:r>
        <w:t>Rollback, coexistence and decommissioning</w:t>
      </w:r>
    </w:p>
    <w:p>
      <w:r>
        <w:br w:type="page"/>
      </w:r>
    </w:p>
    <w:p>
      <w:pPr>
        <w:pStyle w:val="Heading1"/>
      </w:pPr>
      <w:r>
        <w:t>4. Truck Capability Model</w:t>
      </w:r>
    </w:p>
    <w:p>
      <w:r>
        <w:t>The Truck model is the master taxonomy for current-state discovery, requirement definition, RFI/RFP responses, scripted demonstrations, technical proof of concept and target-state design. Detailed L4 requirements are created from representative Interfor scenarios.</w:t>
      </w:r>
    </w:p>
    <w:p>
      <w:pPr>
        <w:pStyle w:val="Heading2"/>
      </w:pPr>
      <w:r>
        <w:t>T1. Demand intake and shipment creation</w:t>
      </w:r>
    </w:p>
    <w:p>
      <w:pPr>
        <w:pStyle w:val="ListBullet"/>
        <w:spacing w:after="20"/>
      </w:pPr>
      <w:r>
        <w:t>Transportation-demand intake</w:t>
      </w:r>
    </w:p>
    <w:p>
      <w:pPr>
        <w:pStyle w:val="ListBullet"/>
        <w:spacing w:after="20"/>
      </w:pPr>
      <w:r>
        <w:t>Shipment qualification</w:t>
      </w:r>
    </w:p>
    <w:p>
      <w:pPr>
        <w:pStyle w:val="ListBullet"/>
        <w:spacing w:after="20"/>
      </w:pPr>
      <w:r>
        <w:t>Shipment creation from order, release, transfer or manual demand</w:t>
      </w:r>
    </w:p>
    <w:p>
      <w:pPr>
        <w:pStyle w:val="ListBullet"/>
        <w:spacing w:after="20"/>
      </w:pPr>
      <w:r>
        <w:t>Shipment update, cancellation, split and consolidation</w:t>
      </w:r>
    </w:p>
    <w:p>
      <w:pPr>
        <w:pStyle w:val="ListBullet"/>
        <w:spacing w:after="20"/>
      </w:pPr>
      <w:r>
        <w:t>Source-system identifiers and lineage</w:t>
      </w:r>
    </w:p>
    <w:p>
      <w:pPr>
        <w:pStyle w:val="ListBullet"/>
        <w:spacing w:after="20"/>
      </w:pPr>
      <w:r>
        <w:t>Duplicate and stale-update prevention</w:t>
      </w:r>
    </w:p>
    <w:p>
      <w:pPr>
        <w:pStyle w:val="ListBullet"/>
        <w:spacing w:after="20"/>
      </w:pPr>
      <w:r>
        <w:t>Exception queue and acknowledgement</w:t>
      </w:r>
    </w:p>
    <w:p>
      <w:pPr>
        <w:pStyle w:val="Heading2"/>
      </w:pPr>
      <w:r>
        <w:t>T2. Transportation planning and optimization</w:t>
      </w:r>
    </w:p>
    <w:p>
      <w:pPr>
        <w:pStyle w:val="ListBullet"/>
        <w:spacing w:after="20"/>
      </w:pPr>
      <w:r>
        <w:t>Single-order, multi-order and multi-stop planning</w:t>
      </w:r>
    </w:p>
    <w:p>
      <w:pPr>
        <w:pStyle w:val="ListBullet"/>
        <w:spacing w:after="20"/>
      </w:pPr>
      <w:r>
        <w:t>Consolidation and deconsolidation</w:t>
      </w:r>
    </w:p>
    <w:p>
      <w:pPr>
        <w:pStyle w:val="ListBullet"/>
        <w:spacing w:after="20"/>
      </w:pPr>
      <w:r>
        <w:t>Continuous moves and backhauls</w:t>
      </w:r>
    </w:p>
    <w:p>
      <w:pPr>
        <w:pStyle w:val="ListBullet"/>
        <w:spacing w:after="20"/>
      </w:pPr>
      <w:r>
        <w:t>Origin, destination, product, equipment and time-window constraints</w:t>
      </w:r>
    </w:p>
    <w:p>
      <w:pPr>
        <w:pStyle w:val="ListBullet"/>
        <w:spacing w:after="20"/>
      </w:pPr>
      <w:r>
        <w:t>Least-cost and service-constrained optimization</w:t>
      </w:r>
    </w:p>
    <w:p>
      <w:pPr>
        <w:pStyle w:val="ListBullet"/>
        <w:spacing w:after="20"/>
      </w:pPr>
      <w:r>
        <w:t>Capacity-aware planning</w:t>
      </w:r>
    </w:p>
    <w:p>
      <w:pPr>
        <w:pStyle w:val="ListBullet"/>
        <w:spacing w:after="20"/>
      </w:pPr>
      <w:r>
        <w:t>Dynamic replanning and what-if simulation</w:t>
      </w:r>
    </w:p>
    <w:p>
      <w:pPr>
        <w:pStyle w:val="ListBullet"/>
        <w:spacing w:after="20"/>
      </w:pPr>
      <w:r>
        <w:t>Planner override and result explanation</w:t>
      </w:r>
    </w:p>
    <w:p>
      <w:pPr>
        <w:pStyle w:val="Heading2"/>
      </w:pPr>
      <w:r>
        <w:t>T3. Route, lane, rate and contract management</w:t>
      </w:r>
    </w:p>
    <w:p>
      <w:pPr>
        <w:pStyle w:val="ListBullet"/>
        <w:spacing w:after="20"/>
      </w:pPr>
      <w:r>
        <w:t>Transportation network and lane master</w:t>
      </w:r>
    </w:p>
    <w:p>
      <w:pPr>
        <w:pStyle w:val="ListBullet"/>
        <w:spacing w:after="20"/>
      </w:pPr>
      <w:r>
        <w:t>Route guides, transit profiles and restrictions</w:t>
      </w:r>
    </w:p>
    <w:p>
      <w:pPr>
        <w:pStyle w:val="ListBullet"/>
        <w:spacing w:after="20"/>
      </w:pPr>
      <w:r>
        <w:t>Carrier contracts and volume commitments</w:t>
      </w:r>
    </w:p>
    <w:p>
      <w:pPr>
        <w:pStyle w:val="ListBullet"/>
        <w:spacing w:after="20"/>
      </w:pPr>
      <w:r>
        <w:t>Base, mileage, flat, zone, weight and volume rates</w:t>
      </w:r>
    </w:p>
    <w:p>
      <w:pPr>
        <w:pStyle w:val="ListBullet"/>
        <w:spacing w:after="20"/>
      </w:pPr>
      <w:r>
        <w:t>Fuel, stop, detention, tarping, border and seasonal charges</w:t>
      </w:r>
    </w:p>
    <w:p>
      <w:pPr>
        <w:pStyle w:val="ListBullet"/>
        <w:spacing w:after="20"/>
      </w:pPr>
      <w:r>
        <w:t>Tax treatment, currency and effective dating</w:t>
      </w:r>
    </w:p>
    <w:p>
      <w:pPr>
        <w:pStyle w:val="ListBullet"/>
        <w:spacing w:after="20"/>
      </w:pPr>
      <w:r>
        <w:t>Rate import, approval, simulation, explanation and audit</w:t>
      </w:r>
    </w:p>
    <w:p>
      <w:pPr>
        <w:pStyle w:val="Heading2"/>
      </w:pPr>
      <w:r>
        <w:t>T4. Carrier lifecycle and compliance</w:t>
      </w:r>
    </w:p>
    <w:p>
      <w:pPr>
        <w:pStyle w:val="ListBullet"/>
        <w:spacing w:after="20"/>
      </w:pPr>
      <w:r>
        <w:t>Carrier registration and onboarding</w:t>
      </w:r>
    </w:p>
    <w:p>
      <w:pPr>
        <w:pStyle w:val="ListBullet"/>
        <w:spacing w:after="20"/>
      </w:pPr>
      <w:r>
        <w:t>Authority, insurance, safety and sanctions controls</w:t>
      </w:r>
    </w:p>
    <w:p>
      <w:pPr>
        <w:pStyle w:val="ListBullet"/>
        <w:spacing w:after="20"/>
      </w:pPr>
      <w:r>
        <w:t>Lane, service-region and equipment qualifications</w:t>
      </w:r>
    </w:p>
    <w:p>
      <w:pPr>
        <w:pStyle w:val="ListBullet"/>
        <w:spacing w:after="20"/>
      </w:pPr>
      <w:r>
        <w:t>Carrier master cross-references and vendor linkage</w:t>
      </w:r>
    </w:p>
    <w:p>
      <w:pPr>
        <w:pStyle w:val="ListBullet"/>
        <w:spacing w:after="20"/>
      </w:pPr>
      <w:r>
        <w:t>Blocking, conditional approval and expiry controls</w:t>
      </w:r>
    </w:p>
    <w:p>
      <w:pPr>
        <w:pStyle w:val="ListBullet"/>
        <w:spacing w:after="20"/>
      </w:pPr>
      <w:r>
        <w:t>Carrier scorecards and corrective actions</w:t>
      </w:r>
    </w:p>
    <w:p>
      <w:pPr>
        <w:pStyle w:val="Heading2"/>
      </w:pPr>
      <w:r>
        <w:t>T5. Procurement, tendering and capacity</w:t>
      </w:r>
    </w:p>
    <w:p>
      <w:pPr>
        <w:pStyle w:val="ListBullet"/>
        <w:spacing w:after="20"/>
      </w:pPr>
      <w:r>
        <w:t>Annual bid events and mini-bids</w:t>
      </w:r>
    </w:p>
    <w:p>
      <w:pPr>
        <w:pStyle w:val="ListBullet"/>
        <w:spacing w:after="20"/>
      </w:pPr>
      <w:r>
        <w:t>Lane bundles and bid comparison</w:t>
      </w:r>
    </w:p>
    <w:p>
      <w:pPr>
        <w:pStyle w:val="ListBullet"/>
        <w:spacing w:after="20"/>
      </w:pPr>
      <w:r>
        <w:t>Sequential, broadcast and route-guide tendering</w:t>
      </w:r>
    </w:p>
    <w:p>
      <w:pPr>
        <w:pStyle w:val="ListBullet"/>
        <w:spacing w:after="20"/>
      </w:pPr>
      <w:r>
        <w:t>Tender timeout, rejection, withdrawal and retendering</w:t>
      </w:r>
    </w:p>
    <w:p>
      <w:pPr>
        <w:pStyle w:val="ListBullet"/>
        <w:spacing w:after="20"/>
      </w:pPr>
      <w:r>
        <w:t>Spot bidding and marketplace connectivity</w:t>
      </w:r>
    </w:p>
    <w:p>
      <w:pPr>
        <w:pStyle w:val="ListBullet"/>
        <w:spacing w:after="20"/>
      </w:pPr>
      <w:r>
        <w:t>Contracted capacity, allocations, forecast and shortfall alerts</w:t>
      </w:r>
    </w:p>
    <w:p>
      <w:pPr>
        <w:pStyle w:val="Heading2"/>
      </w:pPr>
      <w:r>
        <w:t>T6. Truck execution</w:t>
      </w:r>
    </w:p>
    <w:p>
      <w:pPr>
        <w:pStyle w:val="ListBullet"/>
        <w:spacing w:after="20"/>
      </w:pPr>
      <w:r>
        <w:t>Dispatch confirmation</w:t>
      </w:r>
    </w:p>
    <w:p>
      <w:pPr>
        <w:pStyle w:val="ListBullet"/>
        <w:spacing w:after="20"/>
      </w:pPr>
      <w:r>
        <w:t>Driver, tractor and trailer assignment</w:t>
      </w:r>
    </w:p>
    <w:p>
      <w:pPr>
        <w:pStyle w:val="ListBullet"/>
        <w:spacing w:after="20"/>
      </w:pPr>
      <w:r>
        <w:t>Pickup and delivery appointments</w:t>
      </w:r>
    </w:p>
    <w:p>
      <w:pPr>
        <w:pStyle w:val="ListBullet"/>
        <w:spacing w:after="20"/>
      </w:pPr>
      <w:r>
        <w:t>Arrival, departure, loading and in-transit events</w:t>
      </w:r>
    </w:p>
    <w:p>
      <w:pPr>
        <w:pStyle w:val="ListBullet"/>
        <w:spacing w:after="20"/>
      </w:pPr>
      <w:r>
        <w:t>Delay, route deviation, breakdown and recovery</w:t>
      </w:r>
    </w:p>
    <w:p>
      <w:pPr>
        <w:pStyle w:val="ListBullet"/>
        <w:spacing w:after="20"/>
      </w:pPr>
      <w:r>
        <w:t>Partial, refused, damaged or short delivery</w:t>
      </w:r>
    </w:p>
    <w:p>
      <w:pPr>
        <w:pStyle w:val="ListBullet"/>
        <w:spacing w:after="20"/>
      </w:pPr>
      <w:r>
        <w:t>Shipment change control and re-rating</w:t>
      </w:r>
    </w:p>
    <w:p>
      <w:pPr>
        <w:pStyle w:val="Heading2"/>
      </w:pPr>
      <w:r>
        <w:t>T7. Visibility and exception management</w:t>
      </w:r>
    </w:p>
    <w:p>
      <w:pPr>
        <w:pStyle w:val="ListBullet"/>
        <w:spacing w:after="20"/>
      </w:pPr>
      <w:r>
        <w:t>Carrier portal, mobile, telematics, ELD, API and EDI 214 connectivity</w:t>
      </w:r>
    </w:p>
    <w:p>
      <w:pPr>
        <w:pStyle w:val="ListBullet"/>
        <w:spacing w:after="20"/>
      </w:pPr>
      <w:r>
        <w:t>Position, milestone, ETA, geofence and route adherence</w:t>
      </w:r>
    </w:p>
    <w:p>
      <w:pPr>
        <w:pStyle w:val="ListBullet"/>
        <w:spacing w:after="20"/>
      </w:pPr>
      <w:r>
        <w:t>Tracking quality and data-source attribution</w:t>
      </w:r>
    </w:p>
    <w:p>
      <w:pPr>
        <w:pStyle w:val="ListBullet"/>
        <w:spacing w:after="20"/>
      </w:pPr>
      <w:r>
        <w:t>Late pickup/delivery, dwell, missing tracking and missing POD alerts</w:t>
      </w:r>
    </w:p>
    <w:p>
      <w:pPr>
        <w:pStyle w:val="ListBullet"/>
        <w:spacing w:after="20"/>
      </w:pPr>
      <w:r>
        <w:t>Ownership, severity, escalation and root-cause codes</w:t>
      </w:r>
    </w:p>
    <w:p>
      <w:pPr>
        <w:pStyle w:val="ListBullet"/>
        <w:spacing w:after="20"/>
      </w:pPr>
      <w:r>
        <w:t>Customer, mill, logistics and customer-service views</w:t>
      </w:r>
    </w:p>
    <w:p>
      <w:pPr>
        <w:pStyle w:val="Heading2"/>
      </w:pPr>
      <w:r>
        <w:t>T8. Appointment, yard and facility operations</w:t>
      </w:r>
    </w:p>
    <w:p>
      <w:pPr>
        <w:pStyle w:val="ListBullet"/>
        <w:spacing w:after="20"/>
      </w:pPr>
      <w:r>
        <w:t>Carrier self-scheduling and dock calendars</w:t>
      </w:r>
    </w:p>
    <w:p>
      <w:pPr>
        <w:pStyle w:val="ListBullet"/>
        <w:spacing w:after="20"/>
      </w:pPr>
      <w:r>
        <w:t>Appointment capacity, blackout and rescheduling</w:t>
      </w:r>
    </w:p>
    <w:p>
      <w:pPr>
        <w:pStyle w:val="ListBullet"/>
        <w:spacing w:after="20"/>
      </w:pPr>
      <w:r>
        <w:t>Driver pre-arrival, check-in and security validation</w:t>
      </w:r>
    </w:p>
    <w:p>
      <w:pPr>
        <w:pStyle w:val="ListBullet"/>
        <w:spacing w:after="20"/>
      </w:pPr>
      <w:r>
        <w:t>Trailer inventory, yard location, dwell and aging</w:t>
      </w:r>
    </w:p>
    <w:p>
      <w:pPr>
        <w:pStyle w:val="ListBullet"/>
        <w:spacing w:after="20"/>
      </w:pPr>
      <w:r>
        <w:t>Spotter and yard-move assignments</w:t>
      </w:r>
    </w:p>
    <w:p>
      <w:pPr>
        <w:pStyle w:val="ListBullet"/>
        <w:spacing w:after="20"/>
      </w:pPr>
      <w:r>
        <w:t>Dock-door assignment, loading/unloading time and utilization</w:t>
      </w:r>
    </w:p>
    <w:p>
      <w:pPr>
        <w:pStyle w:val="Heading2"/>
      </w:pPr>
      <w:r>
        <w:t>T9. Documentation and regulatory support</w:t>
      </w:r>
    </w:p>
    <w:p>
      <w:pPr>
        <w:pStyle w:val="ListBullet"/>
        <w:spacing w:after="20"/>
      </w:pPr>
      <w:r>
        <w:t>BOL, delivery slip, packing and carrier instructions</w:t>
      </w:r>
    </w:p>
    <w:p>
      <w:pPr>
        <w:pStyle w:val="ListBullet"/>
        <w:spacing w:after="20"/>
      </w:pPr>
      <w:r>
        <w:t>POD upload, image capture, signature and indexing</w:t>
      </w:r>
    </w:p>
    <w:p>
      <w:pPr>
        <w:pStyle w:val="ListBullet"/>
        <w:spacing w:after="20"/>
      </w:pPr>
      <w:r>
        <w:t>Image and required-field validation</w:t>
      </w:r>
    </w:p>
    <w:p>
      <w:pPr>
        <w:pStyle w:val="ListBullet"/>
        <w:spacing w:after="20"/>
      </w:pPr>
      <w:r>
        <w:t>Delivery-date extraction and exception workflow</w:t>
      </w:r>
    </w:p>
    <w:p>
      <w:pPr>
        <w:pStyle w:val="ListBullet"/>
        <w:spacing w:after="20"/>
      </w:pPr>
      <w:r>
        <w:t>Canada/US customs attributes, broker, status and release</w:t>
      </w:r>
    </w:p>
    <w:p>
      <w:pPr>
        <w:pStyle w:val="ListBullet"/>
        <w:spacing w:after="20"/>
      </w:pPr>
      <w:r>
        <w:t>Document retention, distribution and retrieval</w:t>
      </w:r>
    </w:p>
    <w:p>
      <w:pPr>
        <w:pStyle w:val="Heading2"/>
      </w:pPr>
      <w:r>
        <w:t>T10. Truck freight financial management</w:t>
      </w:r>
    </w:p>
    <w:p>
      <w:pPr>
        <w:pStyle w:val="ListBullet"/>
        <w:spacing w:after="20"/>
      </w:pPr>
      <w:r>
        <w:t>Planned cost, carrier-accepted cost and accrual</w:t>
      </w:r>
    </w:p>
    <w:p>
      <w:pPr>
        <w:pStyle w:val="ListBullet"/>
        <w:spacing w:after="20"/>
      </w:pPr>
      <w:r>
        <w:t>Accessorial, fuel, tax and allocation</w:t>
      </w:r>
    </w:p>
    <w:p>
      <w:pPr>
        <w:pStyle w:val="ListBullet"/>
        <w:spacing w:after="20"/>
      </w:pPr>
      <w:r>
        <w:t>Invoice ingestion and shipment matching</w:t>
      </w:r>
    </w:p>
    <w:p>
      <w:pPr>
        <w:pStyle w:val="ListBullet"/>
        <w:spacing w:after="20"/>
      </w:pPr>
      <w:r>
        <w:t>Contract, duplicate and tolerance validation</w:t>
      </w:r>
    </w:p>
    <w:p>
      <w:pPr>
        <w:pStyle w:val="ListBullet"/>
        <w:spacing w:after="20"/>
      </w:pPr>
      <w:r>
        <w:t>Dispute, credit and adjustment workflow</w:t>
      </w:r>
    </w:p>
    <w:p>
      <w:pPr>
        <w:pStyle w:val="ListBullet"/>
        <w:spacing w:after="20"/>
      </w:pPr>
      <w:r>
        <w:t>Ready-to-Pay and POD prerequisite</w:t>
      </w:r>
    </w:p>
    <w:p>
      <w:pPr>
        <w:pStyle w:val="ListBullet"/>
        <w:spacing w:after="20"/>
      </w:pPr>
      <w:r>
        <w:t>Self-billed invoice, service date, posting date and unique reference</w:t>
      </w:r>
    </w:p>
    <w:p>
      <w:pPr>
        <w:pStyle w:val="ListBullet"/>
        <w:spacing w:after="20"/>
      </w:pPr>
      <w:r>
        <w:t>Payment export, remittance, reversal and reprocessing</w:t>
      </w:r>
    </w:p>
    <w:p>
      <w:pPr>
        <w:pStyle w:val="ListBullet"/>
        <w:spacing w:after="20"/>
      </w:pPr>
      <w:r>
        <w:t>Paying legal entity and jurisdiction controls</w:t>
      </w:r>
    </w:p>
    <w:p>
      <w:r>
        <w:br w:type="page"/>
      </w:r>
    </w:p>
    <w:p>
      <w:pPr>
        <w:pStyle w:val="Heading1"/>
      </w:pPr>
      <w:r>
        <w:t>5. Rail Capability Model</w:t>
      </w:r>
    </w:p>
    <w:p>
      <w:r>
        <w:t>The Rail model is scored independently from Truck. It emphasizes equipment lifecycle, railroad network and route behavior, waybilling, event tracing, demurrage, yard inventory and rail-specific financial controls.</w:t>
      </w:r>
    </w:p>
    <w:p>
      <w:pPr>
        <w:pStyle w:val="Heading2"/>
      </w:pPr>
      <w:r>
        <w:t>R1. Rail transportation demand</w:t>
      </w:r>
    </w:p>
    <w:p>
      <w:pPr>
        <w:pStyle w:val="ListBullet"/>
        <w:spacing w:after="20"/>
      </w:pPr>
      <w:r>
        <w:t>Rail demand intake and eligibility</w:t>
      </w:r>
    </w:p>
    <w:p>
      <w:pPr>
        <w:pStyle w:val="ListBullet"/>
        <w:spacing w:after="20"/>
      </w:pPr>
      <w:r>
        <w:t>Origin/destination rail access</w:t>
      </w:r>
    </w:p>
    <w:p>
      <w:pPr>
        <w:pStyle w:val="ListBullet"/>
        <w:spacing w:after="20"/>
      </w:pPr>
      <w:r>
        <w:t>Commodity, weight, equipment and customer capability validation</w:t>
      </w:r>
    </w:p>
    <w:p>
      <w:pPr>
        <w:pStyle w:val="ListBullet"/>
        <w:spacing w:after="20"/>
      </w:pPr>
      <w:r>
        <w:t>Unit-train and manifest demand</w:t>
      </w:r>
    </w:p>
    <w:p>
      <w:pPr>
        <w:pStyle w:val="ListBullet"/>
        <w:spacing w:after="20"/>
      </w:pPr>
      <w:r>
        <w:t>Demand grouping, split, cancellation and lineage</w:t>
      </w:r>
    </w:p>
    <w:p>
      <w:pPr>
        <w:pStyle w:val="Heading2"/>
      </w:pPr>
      <w:r>
        <w:t>R2. Rail network, route and carrier management</w:t>
      </w:r>
    </w:p>
    <w:p>
      <w:pPr>
        <w:pStyle w:val="ListBullet"/>
        <w:spacing w:after="20"/>
      </w:pPr>
      <w:r>
        <w:t>Stations, junctions, interchanges and short lines</w:t>
      </w:r>
    </w:p>
    <w:p>
      <w:pPr>
        <w:pStyle w:val="ListBullet"/>
        <w:spacing w:after="20"/>
      </w:pPr>
      <w:r>
        <w:t>Customer sidings, mill tracks and serving yards</w:t>
      </w:r>
    </w:p>
    <w:p>
      <w:pPr>
        <w:pStyle w:val="ListBullet"/>
        <w:spacing w:after="20"/>
      </w:pPr>
      <w:r>
        <w:t>Single-line and multi-carrier routes</w:t>
      </w:r>
    </w:p>
    <w:p>
      <w:pPr>
        <w:pStyle w:val="ListBullet"/>
        <w:spacing w:after="20"/>
      </w:pPr>
      <w:r>
        <w:t>Preferred and alternate routes</w:t>
      </w:r>
    </w:p>
    <w:p>
      <w:pPr>
        <w:pStyle w:val="ListBullet"/>
        <w:spacing w:after="20"/>
      </w:pPr>
      <w:r>
        <w:t>Embargo-aware routing and route restrictions</w:t>
      </w:r>
    </w:p>
    <w:p>
      <w:pPr>
        <w:pStyle w:val="ListBullet"/>
        <w:spacing w:after="20"/>
      </w:pPr>
      <w:r>
        <w:t>Railroad master, contracts and EDI relationships</w:t>
      </w:r>
    </w:p>
    <w:p>
      <w:pPr>
        <w:pStyle w:val="Heading2"/>
      </w:pPr>
      <w:r>
        <w:t>R3. Rail equipment and fleet management</w:t>
      </w:r>
    </w:p>
    <w:p>
      <w:pPr>
        <w:pStyle w:val="ListBullet"/>
        <w:spacing w:after="20"/>
      </w:pPr>
      <w:r>
        <w:t>Railcar master, ownership, lease, capacity and compatibility</w:t>
      </w:r>
    </w:p>
    <w:p>
      <w:pPr>
        <w:pStyle w:val="ListBullet"/>
        <w:spacing w:after="20"/>
      </w:pPr>
      <w:r>
        <w:t>Available-car inventory, car orders and assignment</w:t>
      </w:r>
    </w:p>
    <w:p>
      <w:pPr>
        <w:pStyle w:val="ListBullet"/>
        <w:spacing w:after="20"/>
      </w:pPr>
      <w:r>
        <w:t>Empty allocation, substitution, shortage and repositioning</w:t>
      </w:r>
    </w:p>
    <w:p>
      <w:pPr>
        <w:pStyle w:val="ListBullet"/>
        <w:spacing w:after="20"/>
      </w:pPr>
      <w:r>
        <w:t>Empty release, placement, loading, interchange, unloading and return</w:t>
      </w:r>
    </w:p>
    <w:p>
      <w:pPr>
        <w:pStyle w:val="ListBullet"/>
        <w:spacing w:after="20"/>
      </w:pPr>
      <w:r>
        <w:t>Bad-order and maintenance status</w:t>
      </w:r>
    </w:p>
    <w:p>
      <w:pPr>
        <w:pStyle w:val="ListBullet"/>
        <w:spacing w:after="20"/>
      </w:pPr>
      <w:r>
        <w:t>Cycle time, dwell, utilization, idle cars and imbalance</w:t>
      </w:r>
    </w:p>
    <w:p>
      <w:pPr>
        <w:pStyle w:val="Heading2"/>
      </w:pPr>
      <w:r>
        <w:t>R4. Rail shipment planning</w:t>
      </w:r>
    </w:p>
    <w:p>
      <w:pPr>
        <w:pStyle w:val="ListBullet"/>
        <w:spacing w:after="20"/>
      </w:pPr>
      <w:r>
        <w:t>Product-to-car compatibility and capacity utilization</w:t>
      </w:r>
    </w:p>
    <w:p>
      <w:pPr>
        <w:pStyle w:val="ListBullet"/>
        <w:spacing w:after="20"/>
      </w:pPr>
      <w:r>
        <w:t>Multi-car and unit-train planning</w:t>
      </w:r>
    </w:p>
    <w:p>
      <w:pPr>
        <w:pStyle w:val="ListBullet"/>
        <w:spacing w:after="20"/>
      </w:pPr>
      <w:r>
        <w:t>Placement, loading, cutoff, interchange and delivery schedules</w:t>
      </w:r>
    </w:p>
    <w:p>
      <w:pPr>
        <w:pStyle w:val="ListBullet"/>
        <w:spacing w:after="20"/>
      </w:pPr>
      <w:r>
        <w:t>Track capacity, equipment, service-day and seasonal constraints</w:t>
      </w:r>
    </w:p>
    <w:p>
      <w:pPr>
        <w:pStyle w:val="ListBullet"/>
        <w:spacing w:after="20"/>
      </w:pPr>
      <w:r>
        <w:t>Approval, override and plan audit</w:t>
      </w:r>
    </w:p>
    <w:p>
      <w:pPr>
        <w:pStyle w:val="Heading2"/>
      </w:pPr>
      <w:r>
        <w:t>R5. Rail rates, tariffs and contracts</w:t>
      </w:r>
    </w:p>
    <w:p>
      <w:pPr>
        <w:pStyle w:val="ListBullet"/>
        <w:spacing w:after="20"/>
      </w:pPr>
      <w:r>
        <w:t>Origin/destination, commodity, car-type and weight rates</w:t>
      </w:r>
    </w:p>
    <w:p>
      <w:pPr>
        <w:pStyle w:val="ListBullet"/>
        <w:spacing w:after="20"/>
      </w:pPr>
      <w:r>
        <w:t>Switch, fuel, border, accessorial and minimum charges</w:t>
      </w:r>
    </w:p>
    <w:p>
      <w:pPr>
        <w:pStyle w:val="ListBullet"/>
        <w:spacing w:after="20"/>
      </w:pPr>
      <w:r>
        <w:t>Tariffs, circulars, contracts, amendments and commitments</w:t>
      </w:r>
    </w:p>
    <w:p>
      <w:pPr>
        <w:pStyle w:val="ListBullet"/>
        <w:spacing w:after="20"/>
      </w:pPr>
      <w:r>
        <w:t>Pre-shipment rating, interline cost and rate explanation</w:t>
      </w:r>
    </w:p>
    <w:p>
      <w:pPr>
        <w:pStyle w:val="ListBullet"/>
        <w:spacing w:after="20"/>
      </w:pPr>
      <w:r>
        <w:t>Contract-versus-invoice comparison</w:t>
      </w:r>
    </w:p>
    <w:p>
      <w:pPr>
        <w:pStyle w:val="Heading2"/>
      </w:pPr>
      <w:r>
        <w:t>R6. Rail execution and waybilling</w:t>
      </w:r>
    </w:p>
    <w:p>
      <w:pPr>
        <w:pStyle w:val="ListBullet"/>
        <w:spacing w:after="20"/>
      </w:pPr>
      <w:r>
        <w:t>Shipping instructions and parties</w:t>
      </w:r>
    </w:p>
    <w:p>
      <w:pPr>
        <w:pStyle w:val="ListBullet"/>
        <w:spacing w:after="20"/>
      </w:pPr>
      <w:r>
        <w:t>Route, commodity, car, weight, broker and special instructions</w:t>
      </w:r>
    </w:p>
    <w:p>
      <w:pPr>
        <w:pStyle w:val="ListBullet"/>
        <w:spacing w:after="20"/>
      </w:pPr>
      <w:r>
        <w:t>Waybill create, amend, cancel and response</w:t>
      </w:r>
    </w:p>
    <w:p>
      <w:pPr>
        <w:pStyle w:val="ListBullet"/>
        <w:spacing w:after="20"/>
      </w:pPr>
      <w:r>
        <w:t>EDI 404 generation, validation, transmission and acknowledgement</w:t>
      </w:r>
    </w:p>
    <w:p>
      <w:pPr>
        <w:pStyle w:val="ListBullet"/>
        <w:spacing w:after="20"/>
      </w:pPr>
      <w:r>
        <w:t>Correlation, duplicate protection, rejection and replay</w:t>
      </w:r>
    </w:p>
    <w:p>
      <w:pPr>
        <w:pStyle w:val="ListBullet"/>
        <w:spacing w:after="20"/>
      </w:pPr>
      <w:r>
        <w:t>Waybill number/date association and source-system writeback</w:t>
      </w:r>
    </w:p>
    <w:p>
      <w:pPr>
        <w:pStyle w:val="Heading2"/>
      </w:pPr>
      <w:r>
        <w:t>R7. Rail event visibility and tracing</w:t>
      </w:r>
    </w:p>
    <w:p>
      <w:pPr>
        <w:pStyle w:val="ListBullet"/>
        <w:spacing w:after="20"/>
      </w:pPr>
      <w:r>
        <w:t>Railroad, CLM, API, EDI and portal event ingestion</w:t>
      </w:r>
    </w:p>
    <w:p>
      <w:pPr>
        <w:pStyle w:val="ListBullet"/>
        <w:spacing w:after="20"/>
      </w:pPr>
      <w:r>
        <w:t>Location, event, train, loaded/empty state and trip history</w:t>
      </w:r>
    </w:p>
    <w:p>
      <w:pPr>
        <w:pStyle w:val="ListBullet"/>
        <w:spacing w:after="20"/>
      </w:pPr>
      <w:r>
        <w:t>Interchange offered, accepted and completed</w:t>
      </w:r>
    </w:p>
    <w:p>
      <w:pPr>
        <w:pStyle w:val="ListBullet"/>
        <w:spacing w:after="20"/>
      </w:pPr>
      <w:r>
        <w:t>ETA and interchange prediction</w:t>
      </w:r>
    </w:p>
    <w:p>
      <w:pPr>
        <w:pStyle w:val="ListBullet"/>
        <w:spacing w:after="20"/>
      </w:pPr>
      <w:r>
        <w:t>No movement, dwell, route deviation, bad order, embargo and missing events</w:t>
      </w:r>
    </w:p>
    <w:p>
      <w:pPr>
        <w:pStyle w:val="ListBullet"/>
        <w:spacing w:after="20"/>
      </w:pPr>
      <w:r>
        <w:t>Exception ownership and escalation</w:t>
      </w:r>
    </w:p>
    <w:p>
      <w:pPr>
        <w:pStyle w:val="Heading2"/>
      </w:pPr>
      <w:r>
        <w:t>R8. Demurrage, detention and accessorials</w:t>
      </w:r>
    </w:p>
    <w:p>
      <w:pPr>
        <w:pStyle w:val="ListBullet"/>
        <w:spacing w:after="20"/>
      </w:pPr>
      <w:r>
        <w:t>Free-time, constructive-placement and actual-placement rules</w:t>
      </w:r>
    </w:p>
    <w:p>
      <w:pPr>
        <w:pStyle w:val="ListBullet"/>
        <w:spacing w:after="20"/>
      </w:pPr>
      <w:r>
        <w:t>Weekend, holiday, railroad, customer and facility variations</w:t>
      </w:r>
    </w:p>
    <w:p>
      <w:pPr>
        <w:pStyle w:val="ListBullet"/>
        <w:spacing w:after="20"/>
      </w:pPr>
      <w:r>
        <w:t>Estimated exposure and final calculation</w:t>
      </w:r>
    </w:p>
    <w:p>
      <w:pPr>
        <w:pStyle w:val="ListBullet"/>
        <w:spacing w:after="20"/>
      </w:pPr>
      <w:r>
        <w:t>Cars approaching or exceeding free time</w:t>
      </w:r>
    </w:p>
    <w:p>
      <w:pPr>
        <w:pStyle w:val="ListBullet"/>
        <w:spacing w:after="20"/>
      </w:pPr>
      <w:r>
        <w:t>Congestion and unloading-delay workflow</w:t>
      </w:r>
    </w:p>
    <w:p>
      <w:pPr>
        <w:pStyle w:val="ListBullet"/>
        <w:spacing w:after="20"/>
      </w:pPr>
      <w:r>
        <w:t>Invoice, event, rate and duplicate validation</w:t>
      </w:r>
    </w:p>
    <w:p>
      <w:pPr>
        <w:pStyle w:val="ListBullet"/>
        <w:spacing w:after="20"/>
      </w:pPr>
      <w:r>
        <w:t>Dispute, evidence and recovery</w:t>
      </w:r>
    </w:p>
    <w:p>
      <w:pPr>
        <w:pStyle w:val="Heading2"/>
      </w:pPr>
      <w:r>
        <w:t>R9. Rail facility, yard and inventory management</w:t>
      </w:r>
    </w:p>
    <w:p>
      <w:pPr>
        <w:pStyle w:val="ListBullet"/>
        <w:spacing w:after="20"/>
      </w:pPr>
      <w:r>
        <w:t>Cars by site, track, load state and age</w:t>
      </w:r>
    </w:p>
    <w:p>
      <w:pPr>
        <w:pStyle w:val="ListBullet"/>
        <w:spacing w:after="20"/>
      </w:pPr>
      <w:r>
        <w:t>Track capacity and car inventory</w:t>
      </w:r>
    </w:p>
    <w:p>
      <w:pPr>
        <w:pStyle w:val="ListBullet"/>
        <w:spacing w:after="20"/>
      </w:pPr>
      <w:r>
        <w:t>Internal move, switch list, sequencing and confirmation</w:t>
      </w:r>
    </w:p>
    <w:p>
      <w:pPr>
        <w:pStyle w:val="ListBullet"/>
        <w:spacing w:after="20"/>
      </w:pPr>
      <w:r>
        <w:t>Car inspection, load readiness, loading and seal</w:t>
      </w:r>
    </w:p>
    <w:p>
      <w:pPr>
        <w:pStyle w:val="ListBullet"/>
        <w:spacing w:after="20"/>
      </w:pPr>
      <w:r>
        <w:t>Physical-to-system reconciliation and audit history</w:t>
      </w:r>
    </w:p>
    <w:p>
      <w:pPr>
        <w:pStyle w:val="Heading2"/>
      </w:pPr>
      <w:r>
        <w:t>R10. Rail financial management</w:t>
      </w:r>
    </w:p>
    <w:p>
      <w:pPr>
        <w:pStyle w:val="ListBullet"/>
        <w:spacing w:after="20"/>
      </w:pPr>
      <w:r>
        <w:t>Linehaul, fuel, switching, handling, lease and demurrage accrual</w:t>
      </w:r>
    </w:p>
    <w:p>
      <w:pPr>
        <w:pStyle w:val="ListBullet"/>
        <w:spacing w:after="20"/>
      </w:pPr>
      <w:r>
        <w:t>Waybill-to-invoice matching</w:t>
      </w:r>
    </w:p>
    <w:p>
      <w:pPr>
        <w:pStyle w:val="ListBullet"/>
        <w:spacing w:after="20"/>
      </w:pPr>
      <w:r>
        <w:t>Rate, route, fuel, switching and demurrage audit</w:t>
      </w:r>
    </w:p>
    <w:p>
      <w:pPr>
        <w:pStyle w:val="ListBullet"/>
        <w:spacing w:after="20"/>
      </w:pPr>
      <w:r>
        <w:t>Approval, legal entity, tax, GL and ERP export</w:t>
      </w:r>
    </w:p>
    <w:p>
      <w:pPr>
        <w:pStyle w:val="ListBullet"/>
        <w:spacing w:after="20"/>
      </w:pPr>
      <w:r>
        <w:t>Reversal, correction and payment status</w:t>
      </w:r>
    </w:p>
    <w:p>
      <w:pPr>
        <w:pStyle w:val="ListBullet"/>
        <w:spacing w:after="20"/>
      </w:pPr>
      <w:r>
        <w:t>Damage, loss, shortage and service claims</w:t>
      </w:r>
    </w:p>
    <w:p>
      <w:pPr>
        <w:pStyle w:val="Caption"/>
        <w:spacing w:before="80" w:after="120"/>
      </w:pPr>
      <w:r>
        <w:rPr>
          <w:i/>
          <w:color w:val="606060"/>
          <w:sz w:val="16"/>
        </w:rPr>
        <w:t>Grounding sources: EDI Interfaces LumberTrack: Rail BOL and EDI 404 sections; LumberTrack KT Volume 2: sections 7.4 and 7.5; ATS-to-Order Process Details: Level 2H</w:t>
      </w:r>
    </w:p>
    <w:p>
      <w:r>
        <w:br w:type="page"/>
      </w:r>
    </w:p>
    <w:p>
      <w:pPr>
        <w:pStyle w:val="Heading1"/>
      </w:pPr>
      <w:r>
        <w:t>6. Shared Enterprise Capability Model</w:t>
      </w:r>
    </w:p>
    <w:p>
      <w:pPr>
        <w:pStyle w:val="Heading2"/>
      </w:pPr>
      <w:r>
        <w:t>E1. Integration and interoperability</w:t>
      </w:r>
    </w:p>
    <w:p>
      <w:pPr>
        <w:pStyle w:val="ListBullet"/>
        <w:spacing w:after="20"/>
      </w:pPr>
      <w:r>
        <w:t>REST and SOAP services where required</w:t>
      </w:r>
    </w:p>
    <w:p>
      <w:pPr>
        <w:pStyle w:val="ListBullet"/>
        <w:spacing w:after="20"/>
      </w:pPr>
      <w:r>
        <w:t>Webhooks and event subscriptions</w:t>
      </w:r>
    </w:p>
    <w:p>
      <w:pPr>
        <w:pStyle w:val="ListBullet"/>
        <w:spacing w:after="20"/>
      </w:pPr>
      <w:r>
        <w:t>EDI, MFT, SFTP and batch interfaces</w:t>
      </w:r>
    </w:p>
    <w:p>
      <w:pPr>
        <w:pStyle w:val="ListBullet"/>
        <w:spacing w:after="20"/>
      </w:pPr>
      <w:r>
        <w:t>Canonical transportation model</w:t>
      </w:r>
    </w:p>
    <w:p>
      <w:pPr>
        <w:pStyle w:val="ListBullet"/>
        <w:spacing w:after="20"/>
      </w:pPr>
      <w:r>
        <w:t>Idempotency, correlation, sequencing and duplicate detection</w:t>
      </w:r>
    </w:p>
    <w:p>
      <w:pPr>
        <w:pStyle w:val="ListBullet"/>
        <w:spacing w:after="20"/>
      </w:pPr>
      <w:r>
        <w:t>Retry, replay, dead-letter handling and reconciliation</w:t>
      </w:r>
    </w:p>
    <w:p>
      <w:pPr>
        <w:pStyle w:val="ListBullet"/>
        <w:spacing w:after="20"/>
      </w:pPr>
      <w:r>
        <w:t>Schema and API versioning</w:t>
      </w:r>
    </w:p>
    <w:p>
      <w:pPr>
        <w:pStyle w:val="ListBullet"/>
        <w:spacing w:after="20"/>
      </w:pPr>
      <w:r>
        <w:t>Integration health dashboard</w:t>
      </w:r>
    </w:p>
    <w:p>
      <w:pPr>
        <w:pStyle w:val="Heading2"/>
      </w:pPr>
      <w:r>
        <w:t>E2. Data management</w:t>
      </w:r>
    </w:p>
    <w:p>
      <w:pPr>
        <w:pStyle w:val="ListBullet"/>
        <w:spacing w:after="20"/>
      </w:pPr>
      <w:r>
        <w:t>Carrier, location, equipment, lane, route and rate masters</w:t>
      </w:r>
    </w:p>
    <w:p>
      <w:pPr>
        <w:pStyle w:val="ListBullet"/>
        <w:spacing w:after="20"/>
      </w:pPr>
      <w:r>
        <w:t>Field-level system of record</w:t>
      </w:r>
    </w:p>
    <w:p>
      <w:pPr>
        <w:pStyle w:val="ListBullet"/>
        <w:spacing w:after="20"/>
      </w:pPr>
      <w:r>
        <w:t>Crosswalks and translations</w:t>
      </w:r>
    </w:p>
    <w:p>
      <w:pPr>
        <w:pStyle w:val="ListBullet"/>
        <w:spacing w:after="20"/>
      </w:pPr>
      <w:r>
        <w:t>Data-quality rules and effective dating</w:t>
      </w:r>
    </w:p>
    <w:p>
      <w:pPr>
        <w:pStyle w:val="ListBullet"/>
        <w:spacing w:after="20"/>
      </w:pPr>
      <w:r>
        <w:t>Lineage, retention, archive and purge</w:t>
      </w:r>
    </w:p>
    <w:p>
      <w:pPr>
        <w:pStyle w:val="ListBullet"/>
        <w:spacing w:after="20"/>
      </w:pPr>
      <w:r>
        <w:t>Bulk extract and data portability</w:t>
      </w:r>
    </w:p>
    <w:p>
      <w:pPr>
        <w:pStyle w:val="ListBullet"/>
        <w:spacing w:after="20"/>
      </w:pPr>
      <w:r>
        <w:t>Historical migration and reconciliation</w:t>
      </w:r>
    </w:p>
    <w:p>
      <w:pPr>
        <w:pStyle w:val="Heading2"/>
      </w:pPr>
      <w:r>
        <w:t>E3. Workflow and extensibility</w:t>
      </w:r>
    </w:p>
    <w:p>
      <w:pPr>
        <w:pStyle w:val="ListBullet"/>
        <w:spacing w:after="20"/>
      </w:pPr>
      <w:r>
        <w:t>Configurable rules, workflow, approvals and alerts</w:t>
      </w:r>
    </w:p>
    <w:p>
      <w:pPr>
        <w:pStyle w:val="ListBullet"/>
        <w:spacing w:after="20"/>
      </w:pPr>
      <w:r>
        <w:t>User-defined fields and statuses</w:t>
      </w:r>
    </w:p>
    <w:p>
      <w:pPr>
        <w:pStyle w:val="ListBullet"/>
        <w:spacing w:after="20"/>
      </w:pPr>
      <w:r>
        <w:t>Configurable documents</w:t>
      </w:r>
    </w:p>
    <w:p>
      <w:pPr>
        <w:pStyle w:val="ListBullet"/>
        <w:spacing w:after="20"/>
      </w:pPr>
      <w:r>
        <w:t>Low-code and supported service extensions</w:t>
      </w:r>
    </w:p>
    <w:p>
      <w:pPr>
        <w:pStyle w:val="ListBullet"/>
        <w:spacing w:after="20"/>
      </w:pPr>
      <w:r>
        <w:t>Upgrade-safe customization</w:t>
      </w:r>
    </w:p>
    <w:p>
      <w:pPr>
        <w:pStyle w:val="ListBullet"/>
        <w:spacing w:after="20"/>
      </w:pPr>
      <w:r>
        <w:t>Rule versioning and promotion across environments</w:t>
      </w:r>
    </w:p>
    <w:p>
      <w:pPr>
        <w:pStyle w:val="ListBullet"/>
        <w:spacing w:after="20"/>
      </w:pPr>
      <w:r>
        <w:t>Complete change audit trail</w:t>
      </w:r>
    </w:p>
    <w:p>
      <w:pPr>
        <w:pStyle w:val="Heading2"/>
      </w:pPr>
      <w:r>
        <w:t>E4. Security, privacy and controls</w:t>
      </w:r>
    </w:p>
    <w:p>
      <w:pPr>
        <w:pStyle w:val="ListBullet"/>
        <w:spacing w:after="20"/>
      </w:pPr>
      <w:r>
        <w:t>Microsoft Entra ID SSO and MFA compatibility</w:t>
      </w:r>
    </w:p>
    <w:p>
      <w:pPr>
        <w:pStyle w:val="ListBullet"/>
        <w:spacing w:after="20"/>
      </w:pPr>
      <w:r>
        <w:t>Role, location and carrier-user isolation</w:t>
      </w:r>
    </w:p>
    <w:p>
      <w:pPr>
        <w:pStyle w:val="ListBullet"/>
        <w:spacing w:after="20"/>
      </w:pPr>
      <w:r>
        <w:t>Segregation of duties and privileged access</w:t>
      </w:r>
    </w:p>
    <w:p>
      <w:pPr>
        <w:pStyle w:val="ListBullet"/>
        <w:spacing w:after="20"/>
      </w:pPr>
      <w:r>
        <w:t>API and service-account governance</w:t>
      </w:r>
    </w:p>
    <w:p>
      <w:pPr>
        <w:pStyle w:val="ListBullet"/>
        <w:spacing w:after="20"/>
      </w:pPr>
      <w:r>
        <w:t>Encryption and security logging</w:t>
      </w:r>
    </w:p>
    <w:p>
      <w:pPr>
        <w:pStyle w:val="ListBullet"/>
        <w:spacing w:after="20"/>
      </w:pPr>
      <w:r>
        <w:t>Data residency and retention</w:t>
      </w:r>
    </w:p>
    <w:p>
      <w:pPr>
        <w:pStyle w:val="ListBullet"/>
        <w:spacing w:after="20"/>
      </w:pPr>
      <w:r>
        <w:t>SOC 1, SOC 2 and continuity evidence</w:t>
      </w:r>
    </w:p>
    <w:p>
      <w:pPr>
        <w:pStyle w:val="ListBullet"/>
        <w:spacing w:after="20"/>
      </w:pPr>
      <w:r>
        <w:t>Vulnerability and incident management</w:t>
      </w:r>
    </w:p>
    <w:p>
      <w:pPr>
        <w:pStyle w:val="Heading2"/>
      </w:pPr>
      <w:r>
        <w:t>E5. Platform operations</w:t>
      </w:r>
    </w:p>
    <w:p>
      <w:pPr>
        <w:pStyle w:val="ListBullet"/>
        <w:spacing w:after="20"/>
      </w:pPr>
      <w:r>
        <w:t>Production, UAT, test and training environments</w:t>
      </w:r>
    </w:p>
    <w:p>
      <w:pPr>
        <w:pStyle w:val="ListBullet"/>
        <w:spacing w:after="20"/>
      </w:pPr>
      <w:r>
        <w:t>Environment refresh and configuration backup</w:t>
      </w:r>
    </w:p>
    <w:p>
      <w:pPr>
        <w:pStyle w:val="ListBullet"/>
        <w:spacing w:after="20"/>
      </w:pPr>
      <w:r>
        <w:t>Masked test data</w:t>
      </w:r>
    </w:p>
    <w:p>
      <w:pPr>
        <w:pStyle w:val="ListBullet"/>
        <w:spacing w:after="20"/>
      </w:pPr>
      <w:r>
        <w:t>Release calendar, notes and regression testing</w:t>
      </w:r>
    </w:p>
    <w:p>
      <w:pPr>
        <w:pStyle w:val="ListBullet"/>
        <w:spacing w:after="20"/>
      </w:pPr>
      <w:r>
        <w:t>Availability, performance, interface monitoring and alerting</w:t>
      </w:r>
    </w:p>
    <w:p>
      <w:pPr>
        <w:pStyle w:val="ListBullet"/>
        <w:spacing w:after="20"/>
      </w:pPr>
      <w:r>
        <w:t>Incident, problem and vendor escalation</w:t>
      </w:r>
    </w:p>
    <w:p>
      <w:pPr>
        <w:pStyle w:val="ListBullet"/>
        <w:spacing w:after="20"/>
      </w:pPr>
      <w:r>
        <w:t>Recovery testing and operational reconciliation</w:t>
      </w:r>
    </w:p>
    <w:p>
      <w:pPr>
        <w:pStyle w:val="Heading2"/>
      </w:pPr>
      <w:r>
        <w:t>E6. Analytics and decision support</w:t>
      </w:r>
    </w:p>
    <w:p>
      <w:pPr>
        <w:pStyle w:val="ListBullet"/>
        <w:spacing w:after="20"/>
      </w:pPr>
      <w:r>
        <w:t>Volume, freight spend and unit cost</w:t>
      </w:r>
    </w:p>
    <w:p>
      <w:pPr>
        <w:pStyle w:val="ListBullet"/>
        <w:spacing w:after="20"/>
      </w:pPr>
      <w:r>
        <w:t>Lane, mill, customer and carrier analytics</w:t>
      </w:r>
    </w:p>
    <w:p>
      <w:pPr>
        <w:pStyle w:val="ListBullet"/>
        <w:spacing w:after="20"/>
      </w:pPr>
      <w:r>
        <w:t>Tender, pickup and delivery KPIs</w:t>
      </w:r>
    </w:p>
    <w:p>
      <w:pPr>
        <w:pStyle w:val="ListBullet"/>
        <w:spacing w:after="20"/>
      </w:pPr>
      <w:r>
        <w:t>Tracking, POD, accessorial and demurrage KPIs</w:t>
      </w:r>
    </w:p>
    <w:p>
      <w:pPr>
        <w:pStyle w:val="ListBullet"/>
        <w:spacing w:after="20"/>
      </w:pPr>
      <w:r>
        <w:t>Railcar utilization and cycle time</w:t>
      </w:r>
    </w:p>
    <w:p>
      <w:pPr>
        <w:pStyle w:val="ListBullet"/>
        <w:spacing w:after="20"/>
      </w:pPr>
      <w:r>
        <w:t>Settlement accuracy and accrual-to-actual</w:t>
      </w:r>
    </w:p>
    <w:p>
      <w:pPr>
        <w:pStyle w:val="ListBullet"/>
        <w:spacing w:after="20"/>
      </w:pPr>
      <w:r>
        <w:t>Self-service reporting, Power BI and data-lake export</w:t>
      </w:r>
    </w:p>
    <w:p>
      <w:pPr>
        <w:pStyle w:val="ListBullet"/>
        <w:spacing w:after="20"/>
      </w:pPr>
      <w:r>
        <w:t>KPI definitions and lineage</w:t>
      </w:r>
    </w:p>
    <w:p>
      <w:pPr>
        <w:pStyle w:val="Heading2"/>
      </w:pPr>
      <w:r>
        <w:t>E7. User experience and collaboration</w:t>
      </w:r>
    </w:p>
    <w:p>
      <w:pPr>
        <w:pStyle w:val="ListBullet"/>
        <w:spacing w:after="20"/>
      </w:pPr>
      <w:r>
        <w:t>Planner, dispatcher and rail-operations workspaces</w:t>
      </w:r>
    </w:p>
    <w:p>
      <w:pPr>
        <w:pStyle w:val="ListBullet"/>
        <w:spacing w:after="20"/>
      </w:pPr>
      <w:r>
        <w:t>Carrier portal and mobile</w:t>
      </w:r>
    </w:p>
    <w:p>
      <w:pPr>
        <w:pStyle w:val="ListBullet"/>
        <w:spacing w:after="20"/>
      </w:pPr>
      <w:r>
        <w:t>Finance, service and exception work queues</w:t>
      </w:r>
    </w:p>
    <w:p>
      <w:pPr>
        <w:pStyle w:val="ListBullet"/>
        <w:spacing w:after="20"/>
      </w:pPr>
      <w:r>
        <w:t>Role-personalized dashboards and bulk actions</w:t>
      </w:r>
    </w:p>
    <w:p>
      <w:pPr>
        <w:pStyle w:val="ListBullet"/>
        <w:spacing w:after="20"/>
      </w:pPr>
      <w:r>
        <w:t>Accessibility and English/French support</w:t>
      </w:r>
    </w:p>
    <w:p>
      <w:pPr>
        <w:pStyle w:val="ListBullet"/>
        <w:spacing w:after="20"/>
      </w:pPr>
      <w:r>
        <w:t>Notifications and collaboration</w:t>
      </w:r>
    </w:p>
    <w:p>
      <w:pPr>
        <w:pStyle w:val="ListBullet"/>
        <w:spacing w:after="20"/>
      </w:pPr>
      <w:r>
        <w:t>Contextual help and adoption analytics</w:t>
      </w:r>
    </w:p>
    <w:p>
      <w:pPr>
        <w:pStyle w:val="Heading2"/>
      </w:pPr>
      <w:r>
        <w:t>E8. AI and automation</w:t>
      </w:r>
    </w:p>
    <w:p>
      <w:pPr>
        <w:pStyle w:val="ListBullet"/>
        <w:spacing w:after="20"/>
      </w:pPr>
      <w:r>
        <w:t>Predictive ETA and disruption prediction</w:t>
      </w:r>
    </w:p>
    <w:p>
      <w:pPr>
        <w:pStyle w:val="ListBullet"/>
        <w:spacing w:after="20"/>
      </w:pPr>
      <w:r>
        <w:t>Carrier, capacity, rate, load and route recommendations</w:t>
      </w:r>
    </w:p>
    <w:p>
      <w:pPr>
        <w:pStyle w:val="ListBullet"/>
        <w:spacing w:after="20"/>
      </w:pPr>
      <w:r>
        <w:t>Exception prioritization</w:t>
      </w:r>
    </w:p>
    <w:p>
      <w:pPr>
        <w:pStyle w:val="ListBullet"/>
        <w:spacing w:after="20"/>
      </w:pPr>
      <w:r>
        <w:t>Document classification and POD extraction</w:t>
      </w:r>
    </w:p>
    <w:p>
      <w:pPr>
        <w:pStyle w:val="ListBullet"/>
        <w:spacing w:after="20"/>
      </w:pPr>
      <w:r>
        <w:t>Invoice anomaly and demurrage-risk detection</w:t>
      </w:r>
    </w:p>
    <w:p>
      <w:pPr>
        <w:pStyle w:val="ListBullet"/>
        <w:spacing w:after="20"/>
      </w:pPr>
      <w:r>
        <w:t>Natural-language analytics and planner copilot</w:t>
      </w:r>
    </w:p>
    <w:p>
      <w:pPr>
        <w:pStyle w:val="ListBullet"/>
        <w:spacing w:after="20"/>
      </w:pPr>
      <w:r>
        <w:t>Confidence, explainability, human approval and audit trail</w:t>
      </w:r>
    </w:p>
    <w:p>
      <w:pPr>
        <w:pStyle w:val="Heading2"/>
      </w:pPr>
      <w:r>
        <w:t>E9. Vendor and commercial</w:t>
      </w:r>
    </w:p>
    <w:p>
      <w:pPr>
        <w:pStyle w:val="ListBullet"/>
        <w:spacing w:after="20"/>
      </w:pPr>
      <w:r>
        <w:t>Product viability and roadmap</w:t>
      </w:r>
    </w:p>
    <w:p>
      <w:pPr>
        <w:pStyle w:val="ListBullet"/>
        <w:spacing w:after="20"/>
      </w:pPr>
      <w:r>
        <w:t>Forest-products, Truck and Rail experience</w:t>
      </w:r>
    </w:p>
    <w:p>
      <w:pPr>
        <w:pStyle w:val="ListBullet"/>
        <w:spacing w:after="20"/>
      </w:pPr>
      <w:r>
        <w:t>Implementation partners and North American support</w:t>
      </w:r>
    </w:p>
    <w:p>
      <w:pPr>
        <w:pStyle w:val="ListBullet"/>
        <w:spacing w:after="20"/>
      </w:pPr>
      <w:r>
        <w:t>References and customer governance</w:t>
      </w:r>
    </w:p>
    <w:p>
      <w:pPr>
        <w:pStyle w:val="ListBullet"/>
        <w:spacing w:after="20"/>
      </w:pPr>
      <w:r>
        <w:t>Release governance and subprocessor transparency</w:t>
      </w:r>
    </w:p>
    <w:p>
      <w:pPr>
        <w:pStyle w:val="ListBullet"/>
        <w:spacing w:after="20"/>
      </w:pPr>
      <w:r>
        <w:t>Data ownership, extraction and exit rights</w:t>
      </w:r>
    </w:p>
    <w:p>
      <w:pPr>
        <w:pStyle w:val="ListBullet"/>
        <w:spacing w:after="20"/>
      </w:pPr>
      <w:r>
        <w:t>Pricing transparency and scalability</w:t>
      </w:r>
    </w:p>
    <w:p>
      <w:pPr>
        <w:pStyle w:val="ListBullet"/>
        <w:spacing w:after="20"/>
      </w:pPr>
      <w:r>
        <w:t>Acquisition and concentration risk</w:t>
      </w:r>
    </w:p>
    <w:p>
      <w:r>
        <w:br w:type="page"/>
      </w:r>
    </w:p>
    <w:p>
      <w:pPr>
        <w:pStyle w:val="Heading1"/>
      </w:pPr>
      <w:r>
        <w:t>7. Assessment Runbook</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584"/>
            <w:vAlign w:val="center"/>
            <w:shd w:fill="123A5A"/>
          </w:tcPr>
          <w:p>
            <w:r/>
            <w:r>
              <w:rPr>
                <w:rFonts w:ascii="Aptos" w:hAnsi="Aptos"/>
                <w:b/>
                <w:color w:val="FFFFFF"/>
                <w:sz w:val="16"/>
              </w:rPr>
              <w:t>Phase</w:t>
            </w:r>
          </w:p>
        </w:tc>
        <w:tc>
          <w:tcPr>
            <w:tcW w:type="dxa" w:w="2160"/>
            <w:vAlign w:val="center"/>
            <w:shd w:fill="123A5A"/>
          </w:tcPr>
          <w:p>
            <w:r/>
            <w:r>
              <w:rPr>
                <w:rFonts w:ascii="Aptos" w:hAnsi="Aptos"/>
                <w:b/>
                <w:color w:val="FFFFFF"/>
                <w:sz w:val="16"/>
              </w:rPr>
              <w:t>Objective</w:t>
            </w:r>
          </w:p>
        </w:tc>
        <w:tc>
          <w:tcPr>
            <w:tcW w:type="dxa" w:w="4320"/>
            <w:vAlign w:val="center"/>
            <w:shd w:fill="123A5A"/>
          </w:tcPr>
          <w:p>
            <w:r/>
            <w:r>
              <w:rPr>
                <w:rFonts w:ascii="Aptos" w:hAnsi="Aptos"/>
                <w:b/>
                <w:color w:val="FFFFFF"/>
                <w:sz w:val="16"/>
              </w:rPr>
              <w:t>Primary outputs</w:t>
            </w:r>
          </w:p>
        </w:tc>
        <w:tc>
          <w:tcPr>
            <w:tcW w:type="dxa" w:w="2880"/>
            <w:vAlign w:val="center"/>
            <w:shd w:fill="123A5A"/>
          </w:tcPr>
          <w:p>
            <w:r/>
            <w:r>
              <w:rPr>
                <w:rFonts w:ascii="Aptos" w:hAnsi="Aptos"/>
                <w:b/>
                <w:color w:val="FFFFFF"/>
                <w:sz w:val="16"/>
              </w:rPr>
              <w:t>Exit criterion</w:t>
            </w:r>
          </w:p>
        </w:tc>
      </w:tr>
      <w:tr>
        <w:trPr>
          <w:cantSplit/>
        </w:trPr>
        <w:tc>
          <w:tcPr>
            <w:tcW w:type="dxa" w:w="1584"/>
            <w:vAlign w:val="center"/>
          </w:tcPr>
          <w:p>
            <w:r/>
            <w:r>
              <w:rPr>
                <w:rFonts w:ascii="Aptos" w:hAnsi="Aptos"/>
                <w:b w:val="0"/>
                <w:sz w:val="14"/>
              </w:rPr>
              <w:t>1. Mobilize and govern</w:t>
            </w:r>
          </w:p>
        </w:tc>
        <w:tc>
          <w:tcPr>
            <w:tcW w:type="dxa" w:w="2160"/>
            <w:vAlign w:val="center"/>
          </w:tcPr>
          <w:p>
            <w:r/>
            <w:r>
              <w:rPr>
                <w:rFonts w:ascii="Aptos" w:hAnsi="Aptos"/>
                <w:b w:val="0"/>
                <w:sz w:val="14"/>
              </w:rPr>
              <w:t>Establish mandate, scope, decision rights and evidence rules.</w:t>
            </w:r>
          </w:p>
        </w:tc>
        <w:tc>
          <w:tcPr>
            <w:tcW w:type="dxa" w:w="4320"/>
            <w:vAlign w:val="center"/>
          </w:tcPr>
          <w:p>
            <w:r/>
            <w:r>
              <w:rPr>
                <w:rFonts w:ascii="Aptos" w:hAnsi="Aptos"/>
                <w:b w:val="0"/>
                <w:sz w:val="14"/>
              </w:rPr>
              <w:t>Charter, RACI, assumption log, decision log, data request.</w:t>
            </w:r>
          </w:p>
        </w:tc>
        <w:tc>
          <w:tcPr>
            <w:tcW w:type="dxa" w:w="2880"/>
            <w:vAlign w:val="center"/>
          </w:tcPr>
          <w:p>
            <w:r/>
            <w:r>
              <w:rPr>
                <w:rFonts w:ascii="Aptos" w:hAnsi="Aptos"/>
                <w:b w:val="0"/>
                <w:sz w:val="14"/>
              </w:rPr>
              <w:t>Sponsor approves scope and governance.</w:t>
            </w:r>
          </w:p>
        </w:tc>
      </w:tr>
      <w:tr>
        <w:trPr>
          <w:cantSplit/>
        </w:trPr>
        <w:tc>
          <w:tcPr>
            <w:tcW w:type="dxa" w:w="1584"/>
            <w:vAlign w:val="center"/>
          </w:tcPr>
          <w:p>
            <w:r/>
            <w:r>
              <w:rPr>
                <w:rFonts w:ascii="Aptos" w:hAnsi="Aptos"/>
                <w:b w:val="0"/>
                <w:sz w:val="14"/>
              </w:rPr>
              <w:t>2. Current-state baseline</w:t>
            </w:r>
          </w:p>
        </w:tc>
        <w:tc>
          <w:tcPr>
            <w:tcW w:type="dxa" w:w="2160"/>
            <w:vAlign w:val="center"/>
          </w:tcPr>
          <w:p>
            <w:r/>
            <w:r>
              <w:rPr>
                <w:rFonts w:ascii="Aptos" w:hAnsi="Aptos"/>
                <w:b w:val="0"/>
                <w:sz w:val="14"/>
              </w:rPr>
              <w:t>Document business, process, application, integration, data and operating model.</w:t>
            </w:r>
          </w:p>
        </w:tc>
        <w:tc>
          <w:tcPr>
            <w:tcW w:type="dxa" w:w="4320"/>
            <w:vAlign w:val="center"/>
          </w:tcPr>
          <w:p>
            <w:r/>
            <w:r>
              <w:rPr>
                <w:rFonts w:ascii="Aptos" w:hAnsi="Aptos"/>
                <w:b w:val="0"/>
                <w:sz w:val="14"/>
              </w:rPr>
              <w:t>Architecture views, process maps, interface inventory, issue register.</w:t>
            </w:r>
          </w:p>
        </w:tc>
        <w:tc>
          <w:tcPr>
            <w:tcW w:type="dxa" w:w="2880"/>
            <w:vAlign w:val="center"/>
          </w:tcPr>
          <w:p>
            <w:r/>
            <w:r>
              <w:rPr>
                <w:rFonts w:ascii="Aptos" w:hAnsi="Aptos"/>
                <w:b w:val="0"/>
                <w:sz w:val="14"/>
              </w:rPr>
              <w:t>SMEs validate baseline and known unknowns.</w:t>
            </w:r>
          </w:p>
        </w:tc>
      </w:tr>
      <w:tr>
        <w:trPr>
          <w:cantSplit/>
        </w:trPr>
        <w:tc>
          <w:tcPr>
            <w:tcW w:type="dxa" w:w="1584"/>
            <w:vAlign w:val="center"/>
          </w:tcPr>
          <w:p>
            <w:r/>
            <w:r>
              <w:rPr>
                <w:rFonts w:ascii="Aptos" w:hAnsi="Aptos"/>
                <w:b w:val="0"/>
                <w:sz w:val="14"/>
              </w:rPr>
              <w:t>3. Truck assessment</w:t>
            </w:r>
          </w:p>
        </w:tc>
        <w:tc>
          <w:tcPr>
            <w:tcW w:type="dxa" w:w="2160"/>
            <w:vAlign w:val="center"/>
          </w:tcPr>
          <w:p>
            <w:r/>
            <w:r>
              <w:rPr>
                <w:rFonts w:ascii="Aptos" w:hAnsi="Aptos"/>
                <w:b w:val="0"/>
                <w:sz w:val="14"/>
              </w:rPr>
              <w:t>Score the current Truck landscape against the capability model.</w:t>
            </w:r>
          </w:p>
        </w:tc>
        <w:tc>
          <w:tcPr>
            <w:tcW w:type="dxa" w:w="4320"/>
            <w:vAlign w:val="center"/>
          </w:tcPr>
          <w:p>
            <w:r/>
            <w:r>
              <w:rPr>
                <w:rFonts w:ascii="Aptos" w:hAnsi="Aptos"/>
                <w:b w:val="0"/>
                <w:sz w:val="14"/>
              </w:rPr>
              <w:t>Truck heat map, gaps, strengths, root causes.</w:t>
            </w:r>
          </w:p>
        </w:tc>
        <w:tc>
          <w:tcPr>
            <w:tcW w:type="dxa" w:w="2880"/>
            <w:vAlign w:val="center"/>
          </w:tcPr>
          <w:p>
            <w:r/>
            <w:r>
              <w:rPr>
                <w:rFonts w:ascii="Aptos" w:hAnsi="Aptos"/>
                <w:b w:val="0"/>
                <w:sz w:val="14"/>
              </w:rPr>
              <w:t>Scores have owners and evidence.</w:t>
            </w:r>
          </w:p>
        </w:tc>
      </w:tr>
      <w:tr>
        <w:trPr>
          <w:cantSplit/>
        </w:trPr>
        <w:tc>
          <w:tcPr>
            <w:tcW w:type="dxa" w:w="1584"/>
            <w:vAlign w:val="center"/>
          </w:tcPr>
          <w:p>
            <w:r/>
            <w:r>
              <w:rPr>
                <w:rFonts w:ascii="Aptos" w:hAnsi="Aptos"/>
                <w:b w:val="0"/>
                <w:sz w:val="14"/>
              </w:rPr>
              <w:t>4. Rail assessment</w:t>
            </w:r>
          </w:p>
        </w:tc>
        <w:tc>
          <w:tcPr>
            <w:tcW w:type="dxa" w:w="2160"/>
            <w:vAlign w:val="center"/>
          </w:tcPr>
          <w:p>
            <w:r/>
            <w:r>
              <w:rPr>
                <w:rFonts w:ascii="Aptos" w:hAnsi="Aptos"/>
                <w:b w:val="0"/>
                <w:sz w:val="14"/>
              </w:rPr>
              <w:t>Score the current Rail landscape independently.</w:t>
            </w:r>
          </w:p>
        </w:tc>
        <w:tc>
          <w:tcPr>
            <w:tcW w:type="dxa" w:w="4320"/>
            <w:vAlign w:val="center"/>
          </w:tcPr>
          <w:p>
            <w:r/>
            <w:r>
              <w:rPr>
                <w:rFonts w:ascii="Aptos" w:hAnsi="Aptos"/>
                <w:b w:val="0"/>
                <w:sz w:val="14"/>
              </w:rPr>
              <w:t>Rail heat map, gaps, strengths, root causes.</w:t>
            </w:r>
          </w:p>
        </w:tc>
        <w:tc>
          <w:tcPr>
            <w:tcW w:type="dxa" w:w="2880"/>
            <w:vAlign w:val="center"/>
          </w:tcPr>
          <w:p>
            <w:r/>
            <w:r>
              <w:rPr>
                <w:rFonts w:ascii="Aptos" w:hAnsi="Aptos"/>
                <w:b w:val="0"/>
                <w:sz w:val="14"/>
              </w:rPr>
              <w:t>Rail SMEs validate capability boundaries.</w:t>
            </w:r>
          </w:p>
        </w:tc>
      </w:tr>
      <w:tr>
        <w:trPr>
          <w:cantSplit/>
        </w:trPr>
        <w:tc>
          <w:tcPr>
            <w:tcW w:type="dxa" w:w="1584"/>
            <w:vAlign w:val="center"/>
          </w:tcPr>
          <w:p>
            <w:r/>
            <w:r>
              <w:rPr>
                <w:rFonts w:ascii="Aptos" w:hAnsi="Aptos"/>
                <w:b w:val="0"/>
                <w:sz w:val="14"/>
              </w:rPr>
              <w:t>5. Financial/control assessment</w:t>
            </w:r>
          </w:p>
        </w:tc>
        <w:tc>
          <w:tcPr>
            <w:tcW w:type="dxa" w:w="2160"/>
            <w:vAlign w:val="center"/>
          </w:tcPr>
          <w:p>
            <w:r/>
            <w:r>
              <w:rPr>
                <w:rFonts w:ascii="Aptos" w:hAnsi="Aptos"/>
                <w:b w:val="0"/>
                <w:sz w:val="14"/>
              </w:rPr>
              <w:t>Assess accrual, settlement, tax, legal entity, evidence and audit trail.</w:t>
            </w:r>
          </w:p>
        </w:tc>
        <w:tc>
          <w:tcPr>
            <w:tcW w:type="dxa" w:w="4320"/>
            <w:vAlign w:val="center"/>
          </w:tcPr>
          <w:p>
            <w:r/>
            <w:r>
              <w:rPr>
                <w:rFonts w:ascii="Aptos" w:hAnsi="Aptos"/>
                <w:b w:val="0"/>
                <w:sz w:val="14"/>
              </w:rPr>
              <w:t>Control matrix, risk statements, mandatory scenarios.</w:t>
            </w:r>
          </w:p>
        </w:tc>
        <w:tc>
          <w:tcPr>
            <w:tcW w:type="dxa" w:w="2880"/>
            <w:vAlign w:val="center"/>
          </w:tcPr>
          <w:p>
            <w:r/>
            <w:r>
              <w:rPr>
                <w:rFonts w:ascii="Aptos" w:hAnsi="Aptos"/>
                <w:b w:val="0"/>
                <w:sz w:val="14"/>
              </w:rPr>
              <w:t>Finance, Tax and AP sign off risks.</w:t>
            </w:r>
          </w:p>
        </w:tc>
      </w:tr>
      <w:tr>
        <w:trPr>
          <w:cantSplit/>
        </w:trPr>
        <w:tc>
          <w:tcPr>
            <w:tcW w:type="dxa" w:w="1584"/>
            <w:vAlign w:val="center"/>
          </w:tcPr>
          <w:p>
            <w:r/>
            <w:r>
              <w:rPr>
                <w:rFonts w:ascii="Aptos" w:hAnsi="Aptos"/>
                <w:b w:val="0"/>
                <w:sz w:val="14"/>
              </w:rPr>
              <w:t>6. Technical/operations assessment</w:t>
            </w:r>
          </w:p>
        </w:tc>
        <w:tc>
          <w:tcPr>
            <w:tcW w:type="dxa" w:w="2160"/>
            <w:vAlign w:val="center"/>
          </w:tcPr>
          <w:p>
            <w:r/>
            <w:r>
              <w:rPr>
                <w:rFonts w:ascii="Aptos" w:hAnsi="Aptos"/>
                <w:b w:val="0"/>
                <w:sz w:val="14"/>
              </w:rPr>
              <w:t>Assess APIs, data, security, environments, monitoring and recovery.</w:t>
            </w:r>
          </w:p>
        </w:tc>
        <w:tc>
          <w:tcPr>
            <w:tcW w:type="dxa" w:w="4320"/>
            <w:vAlign w:val="center"/>
          </w:tcPr>
          <w:p>
            <w:r/>
            <w:r>
              <w:rPr>
                <w:rFonts w:ascii="Aptos" w:hAnsi="Aptos"/>
                <w:b w:val="0"/>
                <w:sz w:val="14"/>
              </w:rPr>
              <w:t>Technical score, NFRs, operational debt, TCO inputs.</w:t>
            </w:r>
          </w:p>
        </w:tc>
        <w:tc>
          <w:tcPr>
            <w:tcW w:type="dxa" w:w="2880"/>
            <w:vAlign w:val="center"/>
          </w:tcPr>
          <w:p>
            <w:r/>
            <w:r>
              <w:rPr>
                <w:rFonts w:ascii="Aptos" w:hAnsi="Aptos"/>
                <w:b w:val="0"/>
                <w:sz w:val="14"/>
              </w:rPr>
              <w:t>Architecture and Operations validate.</w:t>
            </w:r>
          </w:p>
        </w:tc>
      </w:tr>
      <w:tr>
        <w:trPr>
          <w:cantSplit/>
        </w:trPr>
        <w:tc>
          <w:tcPr>
            <w:tcW w:type="dxa" w:w="1584"/>
            <w:vAlign w:val="center"/>
          </w:tcPr>
          <w:p>
            <w:r/>
            <w:r>
              <w:rPr>
                <w:rFonts w:ascii="Aptos" w:hAnsi="Aptos"/>
                <w:b w:val="0"/>
                <w:sz w:val="14"/>
              </w:rPr>
              <w:t>7. Market scan</w:t>
            </w:r>
          </w:p>
        </w:tc>
        <w:tc>
          <w:tcPr>
            <w:tcW w:type="dxa" w:w="2160"/>
            <w:vAlign w:val="center"/>
          </w:tcPr>
          <w:p>
            <w:r/>
            <w:r>
              <w:rPr>
                <w:rFonts w:ascii="Aptos" w:hAnsi="Aptos"/>
                <w:b w:val="0"/>
                <w:sz w:val="14"/>
              </w:rPr>
              <w:t>Group vendors by archetype and screen for basic fit.</w:t>
            </w:r>
          </w:p>
        </w:tc>
        <w:tc>
          <w:tcPr>
            <w:tcW w:type="dxa" w:w="4320"/>
            <w:vAlign w:val="center"/>
          </w:tcPr>
          <w:p>
            <w:r/>
            <w:r>
              <w:rPr>
                <w:rFonts w:ascii="Aptos" w:hAnsi="Aptos"/>
                <w:b w:val="0"/>
                <w:sz w:val="14"/>
              </w:rPr>
              <w:t>Long list, archetype map, elimination rationale.</w:t>
            </w:r>
          </w:p>
        </w:tc>
        <w:tc>
          <w:tcPr>
            <w:tcW w:type="dxa" w:w="2880"/>
            <w:vAlign w:val="center"/>
          </w:tcPr>
          <w:p>
            <w:r/>
            <w:r>
              <w:rPr>
                <w:rFonts w:ascii="Aptos" w:hAnsi="Aptos"/>
                <w:b w:val="0"/>
                <w:sz w:val="14"/>
              </w:rPr>
              <w:t>Only plausible options advance.</w:t>
            </w:r>
          </w:p>
        </w:tc>
      </w:tr>
      <w:tr>
        <w:trPr>
          <w:cantSplit/>
        </w:trPr>
        <w:tc>
          <w:tcPr>
            <w:tcW w:type="dxa" w:w="1584"/>
            <w:vAlign w:val="center"/>
          </w:tcPr>
          <w:p>
            <w:r/>
            <w:r>
              <w:rPr>
                <w:rFonts w:ascii="Aptos" w:hAnsi="Aptos"/>
                <w:b w:val="0"/>
                <w:sz w:val="14"/>
              </w:rPr>
              <w:t>8. RFI and shortlist</w:t>
            </w:r>
          </w:p>
        </w:tc>
        <w:tc>
          <w:tcPr>
            <w:tcW w:type="dxa" w:w="2160"/>
            <w:vAlign w:val="center"/>
          </w:tcPr>
          <w:p>
            <w:r/>
            <w:r>
              <w:rPr>
                <w:rFonts w:ascii="Aptos" w:hAnsi="Aptos"/>
                <w:b w:val="0"/>
                <w:sz w:val="14"/>
              </w:rPr>
              <w:t>Collect evidence-backed responses and commercial indicators.</w:t>
            </w:r>
          </w:p>
        </w:tc>
        <w:tc>
          <w:tcPr>
            <w:tcW w:type="dxa" w:w="4320"/>
            <w:vAlign w:val="center"/>
          </w:tcPr>
          <w:p>
            <w:r/>
            <w:r>
              <w:rPr>
                <w:rFonts w:ascii="Aptos" w:hAnsi="Aptos"/>
                <w:b w:val="0"/>
                <w:sz w:val="14"/>
              </w:rPr>
              <w:t>Weighted score, evidence grade, shortlist.</w:t>
            </w:r>
          </w:p>
        </w:tc>
        <w:tc>
          <w:tcPr>
            <w:tcW w:type="dxa" w:w="2880"/>
            <w:vAlign w:val="center"/>
          </w:tcPr>
          <w:p>
            <w:r/>
            <w:r>
              <w:rPr>
                <w:rFonts w:ascii="Aptos" w:hAnsi="Aptos"/>
                <w:b w:val="0"/>
                <w:sz w:val="14"/>
              </w:rPr>
              <w:t>Four to six candidates selected.</w:t>
            </w:r>
          </w:p>
        </w:tc>
      </w:tr>
      <w:tr>
        <w:trPr>
          <w:cantSplit/>
        </w:trPr>
        <w:tc>
          <w:tcPr>
            <w:tcW w:type="dxa" w:w="1584"/>
            <w:vAlign w:val="center"/>
          </w:tcPr>
          <w:p>
            <w:r/>
            <w:r>
              <w:rPr>
                <w:rFonts w:ascii="Aptos" w:hAnsi="Aptos"/>
                <w:b w:val="0"/>
                <w:sz w:val="14"/>
              </w:rPr>
              <w:t>9. Scripted validation</w:t>
            </w:r>
          </w:p>
        </w:tc>
        <w:tc>
          <w:tcPr>
            <w:tcW w:type="dxa" w:w="2160"/>
            <w:vAlign w:val="center"/>
          </w:tcPr>
          <w:p>
            <w:r/>
            <w:r>
              <w:rPr>
                <w:rFonts w:ascii="Aptos" w:hAnsi="Aptos"/>
                <w:b w:val="0"/>
                <w:sz w:val="14"/>
              </w:rPr>
              <w:t>Execute real Interfor scenarios and inspect technical artifacts.</w:t>
            </w:r>
          </w:p>
        </w:tc>
        <w:tc>
          <w:tcPr>
            <w:tcW w:type="dxa" w:w="4320"/>
            <w:vAlign w:val="center"/>
          </w:tcPr>
          <w:p>
            <w:r/>
            <w:r>
              <w:rPr>
                <w:rFonts w:ascii="Aptos" w:hAnsi="Aptos"/>
                <w:b w:val="0"/>
                <w:sz w:val="14"/>
              </w:rPr>
              <w:t>Scenario results, gaps, complexity and risks.</w:t>
            </w:r>
          </w:p>
        </w:tc>
        <w:tc>
          <w:tcPr>
            <w:tcW w:type="dxa" w:w="2880"/>
            <w:vAlign w:val="center"/>
          </w:tcPr>
          <w:p>
            <w:r/>
            <w:r>
              <w:rPr>
                <w:rFonts w:ascii="Aptos" w:hAnsi="Aptos"/>
                <w:b w:val="0"/>
                <w:sz w:val="14"/>
              </w:rPr>
              <w:t>Two to three finalists remain.</w:t>
            </w:r>
          </w:p>
        </w:tc>
      </w:tr>
      <w:tr>
        <w:trPr>
          <w:cantSplit/>
        </w:trPr>
        <w:tc>
          <w:tcPr>
            <w:tcW w:type="dxa" w:w="1584"/>
            <w:vAlign w:val="center"/>
          </w:tcPr>
          <w:p>
            <w:r/>
            <w:r>
              <w:rPr>
                <w:rFonts w:ascii="Aptos" w:hAnsi="Aptos"/>
                <w:b w:val="0"/>
                <w:sz w:val="14"/>
              </w:rPr>
              <w:t>10. Target-state and business case</w:t>
            </w:r>
          </w:p>
        </w:tc>
        <w:tc>
          <w:tcPr>
            <w:tcW w:type="dxa" w:w="2160"/>
            <w:vAlign w:val="center"/>
          </w:tcPr>
          <w:p>
            <w:r/>
            <w:r>
              <w:rPr>
                <w:rFonts w:ascii="Aptos" w:hAnsi="Aptos"/>
                <w:b w:val="0"/>
                <w:sz w:val="14"/>
              </w:rPr>
              <w:t>Compare single-suite and composable architectures.</w:t>
            </w:r>
          </w:p>
        </w:tc>
        <w:tc>
          <w:tcPr>
            <w:tcW w:type="dxa" w:w="4320"/>
            <w:vAlign w:val="center"/>
          </w:tcPr>
          <w:p>
            <w:r/>
            <w:r>
              <w:rPr>
                <w:rFonts w:ascii="Aptos" w:hAnsi="Aptos"/>
                <w:b w:val="0"/>
                <w:sz w:val="14"/>
              </w:rPr>
              <w:t>Target architecture, roadmap, TCO, benefits, transition risks.</w:t>
            </w:r>
          </w:p>
        </w:tc>
        <w:tc>
          <w:tcPr>
            <w:tcW w:type="dxa" w:w="2880"/>
            <w:vAlign w:val="center"/>
          </w:tcPr>
          <w:p>
            <w:r/>
            <w:r>
              <w:rPr>
                <w:rFonts w:ascii="Aptos" w:hAnsi="Aptos"/>
                <w:b w:val="0"/>
                <w:sz w:val="14"/>
              </w:rPr>
              <w:t>Executive decision package approved.</w:t>
            </w:r>
          </w:p>
        </w:tc>
      </w:tr>
    </w:tbl>
    <w:p>
      <w:pPr>
        <w:spacing w:after="20"/>
      </w:pPr>
    </w:p>
    <w:p>
      <w:pPr>
        <w:pStyle w:val="Heading2"/>
      </w:pPr>
      <w:r>
        <w:t>7.1 Current-state discovery activities</w:t>
      </w:r>
    </w:p>
    <w:p>
      <w:pPr>
        <w:pStyle w:val="ListNumber"/>
        <w:spacing w:after="20"/>
      </w:pPr>
      <w:r>
        <w:t>Confirm business scope by region, mode, shipment type and operating model.</w:t>
      </w:r>
    </w:p>
    <w:p>
      <w:pPr>
        <w:pStyle w:val="ListNumber"/>
        <w:spacing w:after="20"/>
      </w:pPr>
      <w:r>
        <w:t>Map Truck and Rail processes with separate swimlanes and exception paths.</w:t>
      </w:r>
    </w:p>
    <w:p>
      <w:pPr>
        <w:pStyle w:val="ListNumber"/>
        <w:spacing w:after="20"/>
      </w:pPr>
      <w:r>
        <w:t>Inventory CarrierPoint, LumberTrack, OMSI, SSIS, Informatica, Oracle, EDI gateways, schedulers, reports and manual workarounds.</w:t>
      </w:r>
    </w:p>
    <w:p>
      <w:pPr>
        <w:pStyle w:val="ListNumber"/>
        <w:spacing w:after="20"/>
      </w:pPr>
      <w:r>
        <w:t>Establish field-level ownership for dates, carrier, route, rate, equipment, cost, POD, waybill, invoice and legal entity.</w:t>
      </w:r>
    </w:p>
    <w:p>
      <w:pPr>
        <w:pStyle w:val="ListNumber"/>
        <w:spacing w:after="20"/>
      </w:pPr>
      <w:r>
        <w:t>Collect incident, support, synchronization, reconciliation and recovery evidence.</w:t>
      </w:r>
    </w:p>
    <w:p>
      <w:pPr>
        <w:pStyle w:val="ListNumber"/>
        <w:spacing w:after="20"/>
      </w:pPr>
      <w:r>
        <w:t>Document current licensing, vendor services, support effort, integration maintenance and testing effort.</w:t>
      </w:r>
    </w:p>
    <w:p>
      <w:pPr>
        <w:pStyle w:val="ListNumber"/>
        <w:spacing w:after="20"/>
      </w:pPr>
      <w:r>
        <w:t>Populate the heat map with score, risk, root cause, evidence and owner.</w:t>
      </w:r>
    </w:p>
    <w:p>
      <w:pPr>
        <w:pStyle w:val="Heading2"/>
      </w:pPr>
      <w:r>
        <w:t>7.2 Vendor evaluation waves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728"/>
            <w:vAlign w:val="center"/>
            <w:shd w:fill="123A5A"/>
          </w:tcPr>
          <w:p>
            <w:r/>
            <w:r>
              <w:rPr>
                <w:rFonts w:ascii="Aptos" w:hAnsi="Aptos"/>
                <w:b/>
                <w:color w:val="FFFFFF"/>
                <w:sz w:val="16"/>
              </w:rPr>
              <w:t>Wave</w:t>
            </w:r>
          </w:p>
        </w:tc>
        <w:tc>
          <w:tcPr>
            <w:tcW w:type="dxa" w:w="2016"/>
            <w:vAlign w:val="center"/>
            <w:shd w:fill="123A5A"/>
          </w:tcPr>
          <w:p>
            <w:r/>
            <w:r>
              <w:rPr>
                <w:rFonts w:ascii="Aptos" w:hAnsi="Aptos"/>
                <w:b/>
                <w:color w:val="FFFFFF"/>
                <w:sz w:val="16"/>
              </w:rPr>
              <w:t>Population</w:t>
            </w:r>
          </w:p>
        </w:tc>
        <w:tc>
          <w:tcPr>
            <w:tcW w:type="dxa" w:w="5184"/>
            <w:vAlign w:val="center"/>
            <w:shd w:fill="123A5A"/>
          </w:tcPr>
          <w:p>
            <w:r/>
            <w:r>
              <w:rPr>
                <w:rFonts w:ascii="Aptos" w:hAnsi="Aptos"/>
                <w:b/>
                <w:color w:val="FFFFFF"/>
                <w:sz w:val="16"/>
              </w:rPr>
              <w:t>Method</w:t>
            </w:r>
          </w:p>
        </w:tc>
        <w:tc>
          <w:tcPr>
            <w:tcW w:type="dxa" w:w="2304"/>
            <w:vAlign w:val="center"/>
            <w:shd w:fill="123A5A"/>
          </w:tcPr>
          <w:p>
            <w:r/>
            <w:r>
              <w:rPr>
                <w:rFonts w:ascii="Aptos" w:hAnsi="Aptos"/>
                <w:b/>
                <w:color w:val="FFFFFF"/>
                <w:sz w:val="16"/>
              </w:rPr>
              <w:t>Decision</w:t>
            </w:r>
          </w:p>
        </w:tc>
      </w:tr>
      <w:tr>
        <w:trPr>
          <w:cantSplit/>
        </w:trPr>
        <w:tc>
          <w:tcPr>
            <w:tcW w:type="dxa" w:w="1728"/>
            <w:vAlign w:val="center"/>
          </w:tcPr>
          <w:p>
            <w:r/>
            <w:r>
              <w:rPr>
                <w:rFonts w:ascii="Aptos" w:hAnsi="Aptos"/>
                <w:b w:val="0"/>
                <w:sz w:val="16"/>
              </w:rPr>
              <w:t>Long list</w:t>
            </w:r>
          </w:p>
        </w:tc>
        <w:tc>
          <w:tcPr>
            <w:tcW w:type="dxa" w:w="2016"/>
            <w:vAlign w:val="center"/>
          </w:tcPr>
          <w:p>
            <w:r/>
            <w:r>
              <w:rPr>
                <w:rFonts w:ascii="Aptos" w:hAnsi="Aptos"/>
                <w:b w:val="0"/>
                <w:sz w:val="16"/>
              </w:rPr>
              <w:t>Approximately 10-15 candidates</w:t>
            </w:r>
          </w:p>
        </w:tc>
        <w:tc>
          <w:tcPr>
            <w:tcW w:type="dxa" w:w="5184"/>
            <w:vAlign w:val="center"/>
          </w:tcPr>
          <w:p>
            <w:r/>
            <w:r>
              <w:rPr>
                <w:rFonts w:ascii="Aptos" w:hAnsi="Aptos"/>
                <w:b w:val="0"/>
                <w:sz w:val="16"/>
              </w:rPr>
              <w:t>Archetype and gate screening</w:t>
            </w:r>
          </w:p>
        </w:tc>
        <w:tc>
          <w:tcPr>
            <w:tcW w:type="dxa" w:w="2304"/>
            <w:vAlign w:val="center"/>
          </w:tcPr>
          <w:p>
            <w:r/>
            <w:r>
              <w:rPr>
                <w:rFonts w:ascii="Aptos" w:hAnsi="Aptos"/>
                <w:b w:val="0"/>
                <w:sz w:val="16"/>
              </w:rPr>
              <w:t>Remove obvious non-fits.</w:t>
            </w:r>
          </w:p>
        </w:tc>
      </w:tr>
      <w:tr>
        <w:trPr>
          <w:cantSplit/>
        </w:trPr>
        <w:tc>
          <w:tcPr>
            <w:tcW w:type="dxa" w:w="1728"/>
            <w:vAlign w:val="center"/>
          </w:tcPr>
          <w:p>
            <w:r/>
            <w:r>
              <w:rPr>
                <w:rFonts w:ascii="Aptos" w:hAnsi="Aptos"/>
                <w:b w:val="0"/>
                <w:sz w:val="16"/>
              </w:rPr>
              <w:t>Short list</w:t>
            </w:r>
          </w:p>
        </w:tc>
        <w:tc>
          <w:tcPr>
            <w:tcW w:type="dxa" w:w="2016"/>
            <w:vAlign w:val="center"/>
          </w:tcPr>
          <w:p>
            <w:r/>
            <w:r>
              <w:rPr>
                <w:rFonts w:ascii="Aptos" w:hAnsi="Aptos"/>
                <w:b w:val="0"/>
                <w:sz w:val="16"/>
              </w:rPr>
              <w:t>Approximately 4-6 candidates</w:t>
            </w:r>
          </w:p>
        </w:tc>
        <w:tc>
          <w:tcPr>
            <w:tcW w:type="dxa" w:w="5184"/>
            <w:vAlign w:val="center"/>
          </w:tcPr>
          <w:p>
            <w:r/>
            <w:r>
              <w:rPr>
                <w:rFonts w:ascii="Aptos" w:hAnsi="Aptos"/>
                <w:b w:val="0"/>
                <w:sz w:val="16"/>
              </w:rPr>
              <w:t>RFI, functional and technical deep dive</w:t>
            </w:r>
          </w:p>
        </w:tc>
        <w:tc>
          <w:tcPr>
            <w:tcW w:type="dxa" w:w="2304"/>
            <w:vAlign w:val="center"/>
          </w:tcPr>
          <w:p>
            <w:r/>
            <w:r>
              <w:rPr>
                <w:rFonts w:ascii="Aptos" w:hAnsi="Aptos"/>
                <w:b w:val="0"/>
                <w:sz w:val="16"/>
              </w:rPr>
              <w:t>Advance credible options.</w:t>
            </w:r>
          </w:p>
        </w:tc>
      </w:tr>
      <w:tr>
        <w:trPr>
          <w:cantSplit/>
        </w:trPr>
        <w:tc>
          <w:tcPr>
            <w:tcW w:type="dxa" w:w="1728"/>
            <w:vAlign w:val="center"/>
          </w:tcPr>
          <w:p>
            <w:r/>
            <w:r>
              <w:rPr>
                <w:rFonts w:ascii="Aptos" w:hAnsi="Aptos"/>
                <w:b w:val="0"/>
                <w:sz w:val="16"/>
              </w:rPr>
              <w:t>Finalists</w:t>
            </w:r>
          </w:p>
        </w:tc>
        <w:tc>
          <w:tcPr>
            <w:tcW w:type="dxa" w:w="2016"/>
            <w:vAlign w:val="center"/>
          </w:tcPr>
          <w:p>
            <w:r/>
            <w:r>
              <w:rPr>
                <w:rFonts w:ascii="Aptos" w:hAnsi="Aptos"/>
                <w:b w:val="0"/>
                <w:sz w:val="16"/>
              </w:rPr>
              <w:t>Approximately 2-3 candidates</w:t>
            </w:r>
          </w:p>
        </w:tc>
        <w:tc>
          <w:tcPr>
            <w:tcW w:type="dxa" w:w="5184"/>
            <w:vAlign w:val="center"/>
          </w:tcPr>
          <w:p>
            <w:r/>
            <w:r>
              <w:rPr>
                <w:rFonts w:ascii="Aptos" w:hAnsi="Aptos"/>
                <w:b w:val="0"/>
                <w:sz w:val="16"/>
              </w:rPr>
              <w:t>Scripted scenario execution and architecture review</w:t>
            </w:r>
          </w:p>
        </w:tc>
        <w:tc>
          <w:tcPr>
            <w:tcW w:type="dxa" w:w="2304"/>
            <w:vAlign w:val="center"/>
          </w:tcPr>
          <w:p>
            <w:r/>
            <w:r>
              <w:rPr>
                <w:rFonts w:ascii="Aptos" w:hAnsi="Aptos"/>
                <w:b w:val="0"/>
                <w:sz w:val="16"/>
              </w:rPr>
              <w:t>Select preferred architecture and vendor combination.</w:t>
            </w:r>
          </w:p>
        </w:tc>
      </w:tr>
    </w:tbl>
    <w:p>
      <w:pPr>
        <w:spacing w:after="20"/>
      </w:pPr>
    </w:p>
    <w:p>
      <w:pPr>
        <w:pStyle w:val="Heading2"/>
      </w:pPr>
      <w:r>
        <w:t>7.3 Required Interfor validation scenarios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448"/>
            <w:vAlign w:val="center"/>
            <w:shd w:fill="123A5A"/>
          </w:tcPr>
          <w:p>
            <w:r/>
            <w:r>
              <w:rPr>
                <w:rFonts w:ascii="Aptos" w:hAnsi="Aptos"/>
                <w:b/>
                <w:color w:val="FFFFFF"/>
                <w:sz w:val="16"/>
              </w:rPr>
              <w:t>Scenario</w:t>
            </w:r>
          </w:p>
        </w:tc>
        <w:tc>
          <w:tcPr>
            <w:tcW w:type="dxa" w:w="4320"/>
            <w:vAlign w:val="center"/>
            <w:shd w:fill="123A5A"/>
          </w:tcPr>
          <w:p>
            <w:r/>
            <w:r>
              <w:rPr>
                <w:rFonts w:ascii="Aptos" w:hAnsi="Aptos"/>
                <w:b/>
                <w:color w:val="FFFFFF"/>
                <w:sz w:val="16"/>
              </w:rPr>
              <w:t>Lifecycle</w:t>
            </w:r>
          </w:p>
        </w:tc>
        <w:tc>
          <w:tcPr>
            <w:tcW w:type="dxa" w:w="4320"/>
            <w:vAlign w:val="center"/>
            <w:shd w:fill="123A5A"/>
          </w:tcPr>
          <w:p>
            <w:r/>
            <w:r>
              <w:rPr>
                <w:rFonts w:ascii="Aptos" w:hAnsi="Aptos"/>
                <w:b/>
                <w:color w:val="FFFFFF"/>
                <w:sz w:val="16"/>
              </w:rPr>
              <w:t>Key proof points</w:t>
            </w:r>
          </w:p>
        </w:tc>
      </w:tr>
      <w:tr>
        <w:trPr>
          <w:cantSplit/>
        </w:trPr>
        <w:tc>
          <w:tcPr>
            <w:tcW w:type="dxa" w:w="2448"/>
            <w:vAlign w:val="center"/>
          </w:tcPr>
          <w:p>
            <w:r/>
            <w:r>
              <w:rPr>
                <w:rFonts w:ascii="Aptos" w:hAnsi="Aptos"/>
                <w:b w:val="0"/>
                <w:sz w:val="15"/>
              </w:rPr>
              <w:t>S1 Truck order lifecycle</w:t>
            </w:r>
          </w:p>
        </w:tc>
        <w:tc>
          <w:tcPr>
            <w:tcW w:type="dxa" w:w="4320"/>
            <w:vAlign w:val="center"/>
          </w:tcPr>
          <w:p>
            <w:r/>
            <w:r>
              <w:rPr>
                <w:rFonts w:ascii="Aptos" w:hAnsi="Aptos"/>
                <w:b w:val="0"/>
                <w:sz w:val="15"/>
              </w:rPr>
              <w:t>LumberTrack demand -&gt; plan -&gt; tender -&gt; acceptance -&gt; execute -&gt; POD -&gt; Ready-to-Pay -&gt; settlement</w:t>
            </w:r>
          </w:p>
        </w:tc>
        <w:tc>
          <w:tcPr>
            <w:tcW w:type="dxa" w:w="4320"/>
            <w:vAlign w:val="center"/>
          </w:tcPr>
          <w:p>
            <w:r/>
            <w:r>
              <w:rPr>
                <w:rFonts w:ascii="Aptos" w:hAnsi="Aptos"/>
                <w:b w:val="0"/>
                <w:sz w:val="15"/>
              </w:rPr>
              <w:t>Synchronization, tender, events, POD, date integrity, cost and audit trail.</w:t>
            </w:r>
          </w:p>
        </w:tc>
      </w:tr>
      <w:tr>
        <w:trPr>
          <w:cantSplit/>
        </w:trPr>
        <w:tc>
          <w:tcPr>
            <w:tcW w:type="dxa" w:w="2448"/>
            <w:vAlign w:val="center"/>
          </w:tcPr>
          <w:p>
            <w:r/>
            <w:r>
              <w:rPr>
                <w:rFonts w:ascii="Aptos" w:hAnsi="Aptos"/>
                <w:b w:val="0"/>
                <w:sz w:val="15"/>
              </w:rPr>
              <w:t>S2 Truck cross-border</w:t>
            </w:r>
          </w:p>
        </w:tc>
        <w:tc>
          <w:tcPr>
            <w:tcW w:type="dxa" w:w="4320"/>
            <w:vAlign w:val="center"/>
          </w:tcPr>
          <w:p>
            <w:r/>
            <w:r>
              <w:rPr>
                <w:rFonts w:ascii="Aptos" w:hAnsi="Aptos"/>
                <w:b w:val="0"/>
                <w:sz w:val="15"/>
              </w:rPr>
              <w:t>Canada/US demand -&gt; customs -&gt; pickup -&gt; border -&gt; delivery</w:t>
            </w:r>
          </w:p>
        </w:tc>
        <w:tc>
          <w:tcPr>
            <w:tcW w:type="dxa" w:w="4320"/>
            <w:vAlign w:val="center"/>
          </w:tcPr>
          <w:p>
            <w:r/>
            <w:r>
              <w:rPr>
                <w:rFonts w:ascii="Aptos" w:hAnsi="Aptos"/>
                <w:b w:val="0"/>
                <w:sz w:val="15"/>
              </w:rPr>
              <w:t>Broker, document completeness, status visibility, hold/release and evidence.</w:t>
            </w:r>
          </w:p>
        </w:tc>
      </w:tr>
      <w:tr>
        <w:trPr>
          <w:cantSplit/>
        </w:trPr>
        <w:tc>
          <w:tcPr>
            <w:tcW w:type="dxa" w:w="2448"/>
            <w:vAlign w:val="center"/>
          </w:tcPr>
          <w:p>
            <w:r/>
            <w:r>
              <w:rPr>
                <w:rFonts w:ascii="Aptos" w:hAnsi="Aptos"/>
                <w:b w:val="0"/>
                <w:sz w:val="15"/>
              </w:rPr>
              <w:t>S3 Rail lifecycle</w:t>
            </w:r>
          </w:p>
        </w:tc>
        <w:tc>
          <w:tcPr>
            <w:tcW w:type="dxa" w:w="4320"/>
            <w:vAlign w:val="center"/>
          </w:tcPr>
          <w:p>
            <w:r/>
            <w:r>
              <w:rPr>
                <w:rFonts w:ascii="Aptos" w:hAnsi="Aptos"/>
                <w:b w:val="0"/>
                <w:sz w:val="15"/>
              </w:rPr>
              <w:t>Order -&gt; rail plan -&gt; car assignment -&gt; EDI 404 -&gt; acknowledgement -&gt; waybill -&gt; trace -&gt; delivery</w:t>
            </w:r>
          </w:p>
        </w:tc>
        <w:tc>
          <w:tcPr>
            <w:tcW w:type="dxa" w:w="4320"/>
            <w:vAlign w:val="center"/>
          </w:tcPr>
          <w:p>
            <w:r/>
            <w:r>
              <w:rPr>
                <w:rFonts w:ascii="Aptos" w:hAnsi="Aptos"/>
                <w:b w:val="0"/>
                <w:sz w:val="15"/>
              </w:rPr>
              <w:t>Rail depth, correlation, rejection, replay and writeback.</w:t>
            </w:r>
          </w:p>
        </w:tc>
      </w:tr>
      <w:tr>
        <w:trPr>
          <w:cantSplit/>
        </w:trPr>
        <w:tc>
          <w:tcPr>
            <w:tcW w:type="dxa" w:w="2448"/>
            <w:vAlign w:val="center"/>
          </w:tcPr>
          <w:p>
            <w:r/>
            <w:r>
              <w:rPr>
                <w:rFonts w:ascii="Aptos" w:hAnsi="Aptos"/>
                <w:b w:val="0"/>
                <w:sz w:val="15"/>
              </w:rPr>
              <w:t>S4 Freight audit and settlement</w:t>
            </w:r>
          </w:p>
        </w:tc>
        <w:tc>
          <w:tcPr>
            <w:tcW w:type="dxa" w:w="4320"/>
            <w:vAlign w:val="center"/>
          </w:tcPr>
          <w:p>
            <w:r/>
            <w:r>
              <w:rPr>
                <w:rFonts w:ascii="Aptos" w:hAnsi="Aptos"/>
                <w:b w:val="0"/>
                <w:sz w:val="15"/>
              </w:rPr>
              <w:t>Delivery/POD -&gt; invoice or self-bill -&gt; validation -&gt; approval -&gt; Oracle/AP</w:t>
            </w:r>
          </w:p>
        </w:tc>
        <w:tc>
          <w:tcPr>
            <w:tcW w:type="dxa" w:w="4320"/>
            <w:vAlign w:val="center"/>
          </w:tcPr>
          <w:p>
            <w:r/>
            <w:r>
              <w:rPr>
                <w:rFonts w:ascii="Aptos" w:hAnsi="Aptos"/>
                <w:b w:val="0"/>
                <w:sz w:val="15"/>
              </w:rPr>
              <w:t>Service date, posting date, taxes, legal entity, duplicate prevention and reversal.</w:t>
            </w:r>
          </w:p>
        </w:tc>
      </w:tr>
      <w:tr>
        <w:trPr>
          <w:cantSplit/>
        </w:trPr>
        <w:tc>
          <w:tcPr>
            <w:tcW w:type="dxa" w:w="2448"/>
            <w:vAlign w:val="center"/>
          </w:tcPr>
          <w:p>
            <w:r/>
            <w:r>
              <w:rPr>
                <w:rFonts w:ascii="Aptos" w:hAnsi="Aptos"/>
                <w:b w:val="0"/>
                <w:sz w:val="15"/>
              </w:rPr>
              <w:t>S5 Disruption and recovery</w:t>
            </w:r>
          </w:p>
        </w:tc>
        <w:tc>
          <w:tcPr>
            <w:tcW w:type="dxa" w:w="4320"/>
            <w:vAlign w:val="center"/>
          </w:tcPr>
          <w:p>
            <w:r/>
            <w:r>
              <w:rPr>
                <w:rFonts w:ascii="Aptos" w:hAnsi="Aptos"/>
                <w:b w:val="0"/>
                <w:sz w:val="15"/>
              </w:rPr>
              <w:t>Delay or failed interface -&gt; alert -&gt; assign -&gt; correct -&gt; replay -&gt; reconcile</w:t>
            </w:r>
          </w:p>
        </w:tc>
        <w:tc>
          <w:tcPr>
            <w:tcW w:type="dxa" w:w="4320"/>
            <w:vAlign w:val="center"/>
          </w:tcPr>
          <w:p>
            <w:r/>
            <w:r>
              <w:rPr>
                <w:rFonts w:ascii="Aptos" w:hAnsi="Aptos"/>
                <w:b w:val="0"/>
                <w:sz w:val="15"/>
              </w:rPr>
              <w:t>Monitoring, ownership, idempotency, reconciliation and closure evidence.</w:t>
            </w:r>
          </w:p>
        </w:tc>
      </w:tr>
      <w:tr>
        <w:trPr>
          <w:cantSplit/>
        </w:trPr>
        <w:tc>
          <w:tcPr>
            <w:tcW w:type="dxa" w:w="2448"/>
            <w:vAlign w:val="center"/>
          </w:tcPr>
          <w:p>
            <w:r/>
            <w:r>
              <w:rPr>
                <w:rFonts w:ascii="Aptos" w:hAnsi="Aptos"/>
                <w:b w:val="0"/>
                <w:sz w:val="15"/>
              </w:rPr>
              <w:t>S6 Environment and release</w:t>
            </w:r>
          </w:p>
        </w:tc>
        <w:tc>
          <w:tcPr>
            <w:tcW w:type="dxa" w:w="4320"/>
            <w:vAlign w:val="center"/>
          </w:tcPr>
          <w:p>
            <w:r/>
            <w:r>
              <w:rPr>
                <w:rFonts w:ascii="Aptos" w:hAnsi="Aptos"/>
                <w:b w:val="0"/>
                <w:sz w:val="15"/>
              </w:rPr>
              <w:t>Configure in test -&gt; promote -&gt; regression -&gt; release -&gt; rollback</w:t>
            </w:r>
          </w:p>
        </w:tc>
        <w:tc>
          <w:tcPr>
            <w:tcW w:type="dxa" w:w="4320"/>
            <w:vAlign w:val="center"/>
          </w:tcPr>
          <w:p>
            <w:r/>
            <w:r>
              <w:rPr>
                <w:rFonts w:ascii="Aptos" w:hAnsi="Aptos"/>
                <w:b w:val="0"/>
                <w:sz w:val="15"/>
              </w:rPr>
              <w:t>Environment independence, version control and upgrade safety.</w:t>
            </w:r>
          </w:p>
        </w:tc>
      </w:tr>
    </w:tbl>
    <w:p>
      <w:pPr>
        <w:spacing w:after="20"/>
      </w:pPr>
    </w:p>
    <w:p>
      <w:r>
        <w:br w:type="page"/>
      </w:r>
    </w:p>
    <w:p>
      <w:pPr>
        <w:pStyle w:val="Heading1"/>
      </w:pPr>
      <w:r>
        <w:t>8. Initial Current-State Heat-Map Template</w:t>
      </w:r>
    </w:p>
    <w:p>
      <w:r>
        <w:t>The template evaluates the complete current transportation ecosystem rather than CarrierPoint in isolation. Each row is scored in a facilitated workshop and supported by evidence.</w:t>
      </w:r>
    </w:p>
    <w:p>
      <w:pPr>
        <w:pStyle w:val="Heading2"/>
      </w:pPr>
      <w:r>
        <w:t>8.1 Scoring scales</w:t>
      </w:r>
    </w:p>
    <w:tbl>
      <w:tblPr>
        <w:tblStyle w:val="TableGrid"/>
        <w:tblW w:type="auto" w:w="0"/>
        <w:jc w:val="center"/>
        <w:tblLook w:firstColumn="1" w:firstRow="1" w:lastColumn="0" w:lastRow="0" w:noHBand="0" w:noVBand="1" w:val="04A0"/>
      </w:tblPr>
      <w:tblGrid>
        <w:gridCol w:w="5112"/>
        <w:gridCol w:w="5112"/>
      </w:tblGrid>
      <w:tr>
        <w:trPr>
          <w:cantSplit/>
        </w:trPr>
        <w:tc>
          <w:tcPr>
            <w:tcW w:type="dxa" w:w="1152"/>
            <w:vAlign w:val="center"/>
            <w:shd w:fill="123A5A"/>
          </w:tcPr>
          <w:p>
            <w:r/>
            <w:r>
              <w:rPr>
                <w:rFonts w:ascii="Aptos" w:hAnsi="Aptos"/>
                <w:b/>
                <w:color w:val="FFFFFF"/>
                <w:sz w:val="16"/>
              </w:rPr>
              <w:t>Score</w:t>
            </w:r>
          </w:p>
        </w:tc>
        <w:tc>
          <w:tcPr>
            <w:tcW w:type="dxa" w:w="8352"/>
            <w:vAlign w:val="center"/>
            <w:shd w:fill="123A5A"/>
          </w:tcPr>
          <w:p>
            <w:r/>
            <w:r>
              <w:rPr>
                <w:rFonts w:ascii="Aptos" w:hAnsi="Aptos"/>
                <w:b/>
                <w:color w:val="FFFFFF"/>
                <w:sz w:val="16"/>
              </w:rPr>
              <w:t>Business satisfaction</w:t>
            </w:r>
          </w:p>
        </w:tc>
      </w:tr>
      <w:tr>
        <w:trPr>
          <w:cantSplit/>
        </w:trPr>
        <w:tc>
          <w:tcPr>
            <w:tcW w:type="dxa" w:w="1152"/>
            <w:vAlign w:val="center"/>
          </w:tcPr>
          <w:p>
            <w:r/>
            <w:r>
              <w:rPr>
                <w:rFonts w:ascii="Aptos" w:hAnsi="Aptos"/>
                <w:b w:val="0"/>
                <w:sz w:val="16"/>
              </w:rPr>
              <w:t>5</w:t>
            </w:r>
          </w:p>
        </w:tc>
        <w:tc>
          <w:tcPr>
            <w:tcW w:type="dxa" w:w="8352"/>
            <w:vAlign w:val="center"/>
          </w:tcPr>
          <w:p>
            <w:r/>
            <w:r>
              <w:rPr>
                <w:rFonts w:ascii="Aptos" w:hAnsi="Aptos"/>
                <w:b w:val="0"/>
                <w:sz w:val="16"/>
              </w:rPr>
              <w:t>Excellent</w:t>
            </w:r>
          </w:p>
        </w:tc>
      </w:tr>
      <w:tr>
        <w:trPr>
          <w:cantSplit/>
        </w:trPr>
        <w:tc>
          <w:tcPr>
            <w:tcW w:type="dxa" w:w="1152"/>
            <w:vAlign w:val="center"/>
          </w:tcPr>
          <w:p>
            <w:r/>
            <w:r>
              <w:rPr>
                <w:rFonts w:ascii="Aptos" w:hAnsi="Aptos"/>
                <w:b w:val="0"/>
                <w:sz w:val="16"/>
              </w:rPr>
              <w:t>4</w:t>
            </w:r>
          </w:p>
        </w:tc>
        <w:tc>
          <w:tcPr>
            <w:tcW w:type="dxa" w:w="8352"/>
            <w:vAlign w:val="center"/>
          </w:tcPr>
          <w:p>
            <w:r/>
            <w:r>
              <w:rPr>
                <w:rFonts w:ascii="Aptos" w:hAnsi="Aptos"/>
                <w:b w:val="0"/>
                <w:sz w:val="16"/>
              </w:rPr>
              <w:t>Good</w:t>
            </w:r>
          </w:p>
        </w:tc>
      </w:tr>
      <w:tr>
        <w:trPr>
          <w:cantSplit/>
        </w:trPr>
        <w:tc>
          <w:tcPr>
            <w:tcW w:type="dxa" w:w="1152"/>
            <w:vAlign w:val="center"/>
          </w:tcPr>
          <w:p>
            <w:r/>
            <w:r>
              <w:rPr>
                <w:rFonts w:ascii="Aptos" w:hAnsi="Aptos"/>
                <w:b w:val="0"/>
                <w:sz w:val="16"/>
              </w:rPr>
              <w:t>3</w:t>
            </w:r>
          </w:p>
        </w:tc>
        <w:tc>
          <w:tcPr>
            <w:tcW w:type="dxa" w:w="8352"/>
            <w:vAlign w:val="center"/>
          </w:tcPr>
          <w:p>
            <w:r/>
            <w:r>
              <w:rPr>
                <w:rFonts w:ascii="Aptos" w:hAnsi="Aptos"/>
                <w:b w:val="0"/>
                <w:sz w:val="16"/>
              </w:rPr>
              <w:t>Acceptable</w:t>
            </w:r>
          </w:p>
        </w:tc>
      </w:tr>
      <w:tr>
        <w:trPr>
          <w:cantSplit/>
        </w:trPr>
        <w:tc>
          <w:tcPr>
            <w:tcW w:type="dxa" w:w="1152"/>
            <w:vAlign w:val="center"/>
          </w:tcPr>
          <w:p>
            <w:r/>
            <w:r>
              <w:rPr>
                <w:rFonts w:ascii="Aptos" w:hAnsi="Aptos"/>
                <w:b w:val="0"/>
                <w:sz w:val="16"/>
              </w:rPr>
              <w:t>2</w:t>
            </w:r>
          </w:p>
        </w:tc>
        <w:tc>
          <w:tcPr>
            <w:tcW w:type="dxa" w:w="8352"/>
            <w:vAlign w:val="center"/>
          </w:tcPr>
          <w:p>
            <w:r/>
            <w:r>
              <w:rPr>
                <w:rFonts w:ascii="Aptos" w:hAnsi="Aptos"/>
                <w:b w:val="0"/>
                <w:sz w:val="16"/>
              </w:rPr>
              <w:t>Significant pain</w:t>
            </w:r>
          </w:p>
        </w:tc>
      </w:tr>
      <w:tr>
        <w:trPr>
          <w:cantSplit/>
        </w:trPr>
        <w:tc>
          <w:tcPr>
            <w:tcW w:type="dxa" w:w="1152"/>
            <w:vAlign w:val="center"/>
          </w:tcPr>
          <w:p>
            <w:r/>
            <w:r>
              <w:rPr>
                <w:rFonts w:ascii="Aptos" w:hAnsi="Aptos"/>
                <w:b w:val="0"/>
                <w:sz w:val="16"/>
              </w:rPr>
              <w:t>1</w:t>
            </w:r>
          </w:p>
        </w:tc>
        <w:tc>
          <w:tcPr>
            <w:tcW w:type="dxa" w:w="8352"/>
            <w:vAlign w:val="center"/>
          </w:tcPr>
          <w:p>
            <w:r/>
            <w:r>
              <w:rPr>
                <w:rFonts w:ascii="Aptos" w:hAnsi="Aptos"/>
                <w:b w:val="0"/>
                <w:sz w:val="16"/>
              </w:rPr>
              <w:t>Major deficiency</w:t>
            </w:r>
          </w:p>
        </w:tc>
      </w:tr>
      <w:tr>
        <w:trPr>
          <w:cantSplit/>
        </w:trPr>
        <w:tc>
          <w:tcPr>
            <w:tcW w:type="dxa" w:w="1152"/>
            <w:vAlign w:val="center"/>
          </w:tcPr>
          <w:p>
            <w:r/>
            <w:r>
              <w:rPr>
                <w:rFonts w:ascii="Aptos" w:hAnsi="Aptos"/>
                <w:b w:val="0"/>
                <w:sz w:val="16"/>
              </w:rPr>
              <w:t>0</w:t>
            </w:r>
          </w:p>
        </w:tc>
        <w:tc>
          <w:tcPr>
            <w:tcW w:type="dxa" w:w="8352"/>
            <w:vAlign w:val="center"/>
          </w:tcPr>
          <w:p>
            <w:r/>
            <w:r>
              <w:rPr>
                <w:rFonts w:ascii="Aptos" w:hAnsi="Aptos"/>
                <w:b w:val="0"/>
                <w:sz w:val="16"/>
              </w:rPr>
              <w:t>Not available / not performed</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cantSplit/>
        </w:trPr>
        <w:tc>
          <w:tcPr>
            <w:tcW w:type="dxa" w:w="1152"/>
            <w:vAlign w:val="center"/>
            <w:shd w:fill="123A5A"/>
          </w:tcPr>
          <w:p>
            <w:r/>
            <w:r>
              <w:rPr>
                <w:rFonts w:ascii="Aptos" w:hAnsi="Aptos"/>
                <w:b/>
                <w:color w:val="FFFFFF"/>
                <w:sz w:val="16"/>
              </w:rPr>
              <w:t>Risk</w:t>
            </w:r>
          </w:p>
        </w:tc>
        <w:tc>
          <w:tcPr>
            <w:tcW w:type="dxa" w:w="8352"/>
            <w:vAlign w:val="center"/>
            <w:shd w:fill="123A5A"/>
          </w:tcPr>
          <w:p>
            <w:r/>
            <w:r>
              <w:rPr>
                <w:rFonts w:ascii="Aptos" w:hAnsi="Aptos"/>
                <w:b/>
                <w:color w:val="FFFFFF"/>
                <w:sz w:val="16"/>
              </w:rPr>
              <w:t>Meaning</w:t>
            </w:r>
          </w:p>
        </w:tc>
      </w:tr>
      <w:tr>
        <w:trPr>
          <w:cantSplit/>
        </w:trPr>
        <w:tc>
          <w:tcPr>
            <w:tcW w:type="dxa" w:w="1152"/>
            <w:vAlign w:val="center"/>
          </w:tcPr>
          <w:p>
            <w:r/>
            <w:r>
              <w:rPr>
                <w:rFonts w:ascii="Aptos" w:hAnsi="Aptos"/>
                <w:b w:val="0"/>
                <w:sz w:val="16"/>
              </w:rPr>
              <w:t>L</w:t>
            </w:r>
          </w:p>
        </w:tc>
        <w:tc>
          <w:tcPr>
            <w:tcW w:type="dxa" w:w="8352"/>
            <w:vAlign w:val="center"/>
          </w:tcPr>
          <w:p>
            <w:r/>
            <w:r>
              <w:rPr>
                <w:rFonts w:ascii="Aptos" w:hAnsi="Aptos"/>
                <w:b w:val="0"/>
                <w:sz w:val="16"/>
              </w:rPr>
              <w:t>Low</w:t>
            </w:r>
          </w:p>
        </w:tc>
      </w:tr>
      <w:tr>
        <w:trPr>
          <w:cantSplit/>
        </w:trPr>
        <w:tc>
          <w:tcPr>
            <w:tcW w:type="dxa" w:w="1152"/>
            <w:vAlign w:val="center"/>
          </w:tcPr>
          <w:p>
            <w:r/>
            <w:r>
              <w:rPr>
                <w:rFonts w:ascii="Aptos" w:hAnsi="Aptos"/>
                <w:b w:val="0"/>
                <w:sz w:val="16"/>
              </w:rPr>
              <w:t>M</w:t>
            </w:r>
          </w:p>
        </w:tc>
        <w:tc>
          <w:tcPr>
            <w:tcW w:type="dxa" w:w="8352"/>
            <w:vAlign w:val="center"/>
          </w:tcPr>
          <w:p>
            <w:r/>
            <w:r>
              <w:rPr>
                <w:rFonts w:ascii="Aptos" w:hAnsi="Aptos"/>
                <w:b w:val="0"/>
                <w:sz w:val="16"/>
              </w:rPr>
              <w:t>Medium</w:t>
            </w:r>
          </w:p>
        </w:tc>
      </w:tr>
      <w:tr>
        <w:trPr>
          <w:cantSplit/>
        </w:trPr>
        <w:tc>
          <w:tcPr>
            <w:tcW w:type="dxa" w:w="1152"/>
            <w:vAlign w:val="center"/>
          </w:tcPr>
          <w:p>
            <w:r/>
            <w:r>
              <w:rPr>
                <w:rFonts w:ascii="Aptos" w:hAnsi="Aptos"/>
                <w:b w:val="0"/>
                <w:sz w:val="16"/>
              </w:rPr>
              <w:t>H</w:t>
            </w:r>
          </w:p>
        </w:tc>
        <w:tc>
          <w:tcPr>
            <w:tcW w:type="dxa" w:w="8352"/>
            <w:vAlign w:val="center"/>
          </w:tcPr>
          <w:p>
            <w:r/>
            <w:r>
              <w:rPr>
                <w:rFonts w:ascii="Aptos" w:hAnsi="Aptos"/>
                <w:b w:val="0"/>
                <w:sz w:val="16"/>
              </w:rPr>
              <w:t>High</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cantSplit/>
        </w:trPr>
        <w:tc>
          <w:tcPr>
            <w:tcW w:type="dxa" w:w="1440"/>
            <w:vAlign w:val="center"/>
            <w:shd w:fill="123A5A"/>
          </w:tcPr>
          <w:p>
            <w:r/>
            <w:r>
              <w:rPr>
                <w:rFonts w:ascii="Aptos" w:hAnsi="Aptos"/>
                <w:b/>
                <w:color w:val="FFFFFF"/>
                <w:sz w:val="16"/>
              </w:rPr>
              <w:t>Code</w:t>
            </w:r>
          </w:p>
        </w:tc>
        <w:tc>
          <w:tcPr>
            <w:tcW w:type="dxa" w:w="8064"/>
            <w:vAlign w:val="center"/>
            <w:shd w:fill="123A5A"/>
          </w:tcPr>
          <w:p>
            <w:r/>
            <w:r>
              <w:rPr>
                <w:rFonts w:ascii="Aptos" w:hAnsi="Aptos"/>
                <w:b/>
                <w:color w:val="FFFFFF"/>
                <w:sz w:val="16"/>
              </w:rPr>
              <w:t>Root cause</w:t>
            </w:r>
          </w:p>
        </w:tc>
      </w:tr>
      <w:tr>
        <w:trPr>
          <w:cantSplit/>
        </w:trPr>
        <w:tc>
          <w:tcPr>
            <w:tcW w:type="dxa" w:w="1440"/>
            <w:vAlign w:val="center"/>
          </w:tcPr>
          <w:p>
            <w:r/>
            <w:r>
              <w:rPr>
                <w:rFonts w:ascii="Aptos" w:hAnsi="Aptos"/>
                <w:b w:val="0"/>
                <w:sz w:val="16"/>
              </w:rPr>
              <w:t>PROD</w:t>
            </w:r>
          </w:p>
        </w:tc>
        <w:tc>
          <w:tcPr>
            <w:tcW w:type="dxa" w:w="8064"/>
            <w:vAlign w:val="center"/>
          </w:tcPr>
          <w:p>
            <w:r/>
            <w:r>
              <w:rPr>
                <w:rFonts w:ascii="Aptos" w:hAnsi="Aptos"/>
                <w:b w:val="0"/>
                <w:sz w:val="16"/>
              </w:rPr>
              <w:t>Product limitation</w:t>
            </w:r>
          </w:p>
        </w:tc>
      </w:tr>
      <w:tr>
        <w:trPr>
          <w:cantSplit/>
        </w:trPr>
        <w:tc>
          <w:tcPr>
            <w:tcW w:type="dxa" w:w="1440"/>
            <w:vAlign w:val="center"/>
          </w:tcPr>
          <w:p>
            <w:r/>
            <w:r>
              <w:rPr>
                <w:rFonts w:ascii="Aptos" w:hAnsi="Aptos"/>
                <w:b w:val="0"/>
                <w:sz w:val="16"/>
              </w:rPr>
              <w:t>CONF</w:t>
            </w:r>
          </w:p>
        </w:tc>
        <w:tc>
          <w:tcPr>
            <w:tcW w:type="dxa" w:w="8064"/>
            <w:vAlign w:val="center"/>
          </w:tcPr>
          <w:p>
            <w:r/>
            <w:r>
              <w:rPr>
                <w:rFonts w:ascii="Aptos" w:hAnsi="Aptos"/>
                <w:b w:val="0"/>
                <w:sz w:val="16"/>
              </w:rPr>
              <w:t>Configuration</w:t>
            </w:r>
          </w:p>
        </w:tc>
      </w:tr>
      <w:tr>
        <w:trPr>
          <w:cantSplit/>
        </w:trPr>
        <w:tc>
          <w:tcPr>
            <w:tcW w:type="dxa" w:w="1440"/>
            <w:vAlign w:val="center"/>
          </w:tcPr>
          <w:p>
            <w:r/>
            <w:r>
              <w:rPr>
                <w:rFonts w:ascii="Aptos" w:hAnsi="Aptos"/>
                <w:b w:val="0"/>
                <w:sz w:val="16"/>
              </w:rPr>
              <w:t>INT</w:t>
            </w:r>
          </w:p>
        </w:tc>
        <w:tc>
          <w:tcPr>
            <w:tcW w:type="dxa" w:w="8064"/>
            <w:vAlign w:val="center"/>
          </w:tcPr>
          <w:p>
            <w:r/>
            <w:r>
              <w:rPr>
                <w:rFonts w:ascii="Aptos" w:hAnsi="Aptos"/>
                <w:b w:val="0"/>
                <w:sz w:val="16"/>
              </w:rPr>
              <w:t>Integration</w:t>
            </w:r>
          </w:p>
        </w:tc>
      </w:tr>
      <w:tr>
        <w:trPr>
          <w:cantSplit/>
        </w:trPr>
        <w:tc>
          <w:tcPr>
            <w:tcW w:type="dxa" w:w="1440"/>
            <w:vAlign w:val="center"/>
          </w:tcPr>
          <w:p>
            <w:r/>
            <w:r>
              <w:rPr>
                <w:rFonts w:ascii="Aptos" w:hAnsi="Aptos"/>
                <w:b w:val="0"/>
                <w:sz w:val="16"/>
              </w:rPr>
              <w:t>DATA</w:t>
            </w:r>
          </w:p>
        </w:tc>
        <w:tc>
          <w:tcPr>
            <w:tcW w:type="dxa" w:w="8064"/>
            <w:vAlign w:val="center"/>
          </w:tcPr>
          <w:p>
            <w:r/>
            <w:r>
              <w:rPr>
                <w:rFonts w:ascii="Aptos" w:hAnsi="Aptos"/>
                <w:b w:val="0"/>
                <w:sz w:val="16"/>
              </w:rPr>
              <w:t>Data quality</w:t>
            </w:r>
          </w:p>
        </w:tc>
      </w:tr>
      <w:tr>
        <w:trPr>
          <w:cantSplit/>
        </w:trPr>
        <w:tc>
          <w:tcPr>
            <w:tcW w:type="dxa" w:w="1440"/>
            <w:vAlign w:val="center"/>
          </w:tcPr>
          <w:p>
            <w:r/>
            <w:r>
              <w:rPr>
                <w:rFonts w:ascii="Aptos" w:hAnsi="Aptos"/>
                <w:b w:val="0"/>
                <w:sz w:val="16"/>
              </w:rPr>
              <w:t>PROC</w:t>
            </w:r>
          </w:p>
        </w:tc>
        <w:tc>
          <w:tcPr>
            <w:tcW w:type="dxa" w:w="8064"/>
            <w:vAlign w:val="center"/>
          </w:tcPr>
          <w:p>
            <w:r/>
            <w:r>
              <w:rPr>
                <w:rFonts w:ascii="Aptos" w:hAnsi="Aptos"/>
                <w:b w:val="0"/>
                <w:sz w:val="16"/>
              </w:rPr>
              <w:t>Process</w:t>
            </w:r>
          </w:p>
        </w:tc>
      </w:tr>
      <w:tr>
        <w:trPr>
          <w:cantSplit/>
        </w:trPr>
        <w:tc>
          <w:tcPr>
            <w:tcW w:type="dxa" w:w="1440"/>
            <w:vAlign w:val="center"/>
          </w:tcPr>
          <w:p>
            <w:r/>
            <w:r>
              <w:rPr>
                <w:rFonts w:ascii="Aptos" w:hAnsi="Aptos"/>
                <w:b w:val="0"/>
                <w:sz w:val="16"/>
              </w:rPr>
              <w:t>GOV</w:t>
            </w:r>
          </w:p>
        </w:tc>
        <w:tc>
          <w:tcPr>
            <w:tcW w:type="dxa" w:w="8064"/>
            <w:vAlign w:val="center"/>
          </w:tcPr>
          <w:p>
            <w:r/>
            <w:r>
              <w:rPr>
                <w:rFonts w:ascii="Aptos" w:hAnsi="Aptos"/>
                <w:b w:val="0"/>
                <w:sz w:val="16"/>
              </w:rPr>
              <w:t>Governance</w:t>
            </w:r>
          </w:p>
        </w:tc>
      </w:tr>
      <w:tr>
        <w:trPr>
          <w:cantSplit/>
        </w:trPr>
        <w:tc>
          <w:tcPr>
            <w:tcW w:type="dxa" w:w="1440"/>
            <w:vAlign w:val="center"/>
          </w:tcPr>
          <w:p>
            <w:r/>
            <w:r>
              <w:rPr>
                <w:rFonts w:ascii="Aptos" w:hAnsi="Aptos"/>
                <w:b w:val="0"/>
                <w:sz w:val="16"/>
              </w:rPr>
              <w:t>USER</w:t>
            </w:r>
          </w:p>
        </w:tc>
        <w:tc>
          <w:tcPr>
            <w:tcW w:type="dxa" w:w="8064"/>
            <w:vAlign w:val="center"/>
          </w:tcPr>
          <w:p>
            <w:r/>
            <w:r>
              <w:rPr>
                <w:rFonts w:ascii="Aptos" w:hAnsi="Aptos"/>
                <w:b w:val="0"/>
                <w:sz w:val="16"/>
              </w:rPr>
              <w:t>Adoption</w:t>
            </w:r>
          </w:p>
        </w:tc>
      </w:tr>
      <w:tr>
        <w:trPr>
          <w:cantSplit/>
        </w:trPr>
        <w:tc>
          <w:tcPr>
            <w:tcW w:type="dxa" w:w="1440"/>
            <w:vAlign w:val="center"/>
          </w:tcPr>
          <w:p>
            <w:r/>
            <w:r>
              <w:rPr>
                <w:rFonts w:ascii="Aptos" w:hAnsi="Aptos"/>
                <w:b w:val="0"/>
                <w:sz w:val="16"/>
              </w:rPr>
              <w:t>OPS</w:t>
            </w:r>
          </w:p>
        </w:tc>
        <w:tc>
          <w:tcPr>
            <w:tcW w:type="dxa" w:w="8064"/>
            <w:vAlign w:val="center"/>
          </w:tcPr>
          <w:p>
            <w:r/>
            <w:r>
              <w:rPr>
                <w:rFonts w:ascii="Aptos" w:hAnsi="Aptos"/>
                <w:b w:val="0"/>
                <w:sz w:val="16"/>
              </w:rPr>
              <w:t>Operational support</w:t>
            </w:r>
          </w:p>
        </w:tc>
      </w:tr>
    </w:tbl>
    <w:p>
      <w:pPr>
        <w:spacing w:after="20"/>
      </w:pPr>
    </w:p>
    <w:p>
      <w:pPr>
        <w:pStyle w:val="Heading2"/>
      </w:pPr>
      <w:r>
        <w:t>A1. Truck: Shipment intake and synchronization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Shipment creation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Updates and cancellation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Split and consolidation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LumberTrack synchronization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Acknowledgement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Duplicate prevention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Reconciliation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Error recovery and replay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Transaction traceability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A2. Truck: Planning and optimization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Load planning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Multi-stop planning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Consolidation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Capacity planning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Route/lane planning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Optimization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Dynamic replanning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Manual override</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Planner productivity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A3. Truck: Carrier, procurement and tendering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Carrier onboarding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Insurance and compliance</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Carrier master governance</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Carrier scorecards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Contract tendering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Automated tendering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Spot tendering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Retendering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Capacity management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A4. Truck: Execution, visibility and facilities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Dispatch</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Pickup/delivery appointments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In-transit updates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ETA and geofencing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Exception management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Customer/internal visibility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Gate and yard</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Dock operations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POD and delivery confirmation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A5. Truck: Financial, compliance and audit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Planned cost and accrual</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Ready-to-Pay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POD validation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Self-billing / Auto-FAVI</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Invoice matching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Dispute handling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Invoice date and posting date</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Legal-entity assignment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Tax inputs and audit trail</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Reversal and reprocessing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B1. Rail: Planning, network and fleet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Rail demand creation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Route and railroad selection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Car assignment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Empty-car management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Car inventory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Track capacity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Fleet utilization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Unit-train support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B2. Rail: Waybilling and connectivity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Shipping instructions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EDI 404 generation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Validation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Kleinschmidt / network delivery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997 acknowledgement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Waybill response</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Correlation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Duplicate protection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Replay and reconciliation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B3. Rail: Visibility, demurrage and yard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Car tracing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Interchange tracking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ETA</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No-movement and dwell alerts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Free-time rules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Demurrage exposure</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Accessorial audit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Mill yard inventory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Switching and loading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B4. Rail: Financial and claims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Rate and tariff management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Rail accrual</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Waybill-to-invoice match</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Fuel and switching audit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Demurrage validation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Settlement and ERP export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Claims and recovery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C1. Enterprise: Integration and data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REST APIs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Event architecture</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OMSI</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EDI</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SSIS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Informatica</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Oracle/AP integration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Idempotency and correlation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Data ownership</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Lineage and history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Data reconciliation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Data portability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C2. Enterprise: Security and platform operations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SSO and MFA</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Role/location security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Carrier-user isolation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Segregation of duties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Audit logging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SOC/control evidence</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Production stability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UAT independence and refresh</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Release management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Monitoring and alerting</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Disaster recovery</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C3. Enterprise: Support and analytics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3888"/>
            <w:vAlign w:val="center"/>
            <w:shd w:fill="123A5A"/>
          </w:tcPr>
          <w:p>
            <w:r/>
            <w:r>
              <w:rPr>
                <w:rFonts w:ascii="Aptos" w:hAnsi="Aptos"/>
                <w:b/>
                <w:color w:val="FFFFFF"/>
                <w:sz w:val="16"/>
              </w:rPr>
              <w:t>Capability</w:t>
            </w:r>
          </w:p>
        </w:tc>
        <w:tc>
          <w:tcPr>
            <w:tcW w:type="dxa" w:w="792"/>
            <w:vAlign w:val="center"/>
            <w:shd w:fill="123A5A"/>
          </w:tcPr>
          <w:p>
            <w:r/>
            <w:r>
              <w:rPr>
                <w:rFonts w:ascii="Aptos" w:hAnsi="Aptos"/>
                <w:b/>
                <w:color w:val="FFFFFF"/>
                <w:sz w:val="16"/>
              </w:rPr>
              <w:t>Score</w:t>
            </w:r>
          </w:p>
        </w:tc>
        <w:tc>
          <w:tcPr>
            <w:tcW w:type="dxa" w:w="792"/>
            <w:vAlign w:val="center"/>
            <w:shd w:fill="123A5A"/>
          </w:tcPr>
          <w:p>
            <w:r/>
            <w:r>
              <w:rPr>
                <w:rFonts w:ascii="Aptos" w:hAnsi="Aptos"/>
                <w:b/>
                <w:color w:val="FFFFFF"/>
                <w:sz w:val="16"/>
              </w:rPr>
              <w:t>Risk</w:t>
            </w:r>
          </w:p>
        </w:tc>
        <w:tc>
          <w:tcPr>
            <w:tcW w:type="dxa" w:w="1080"/>
            <w:vAlign w:val="center"/>
            <w:shd w:fill="123A5A"/>
          </w:tcPr>
          <w:p>
            <w:r/>
            <w:r>
              <w:rPr>
                <w:rFonts w:ascii="Aptos" w:hAnsi="Aptos"/>
                <w:b/>
                <w:color w:val="FFFFFF"/>
                <w:sz w:val="16"/>
              </w:rPr>
              <w:t>Root cause</w:t>
            </w:r>
          </w:p>
        </w:tc>
        <w:tc>
          <w:tcPr>
            <w:tcW w:type="dxa" w:w="2088"/>
            <w:vAlign w:val="center"/>
            <w:shd w:fill="123A5A"/>
          </w:tcPr>
          <w:p>
            <w:r/>
            <w:r>
              <w:rPr>
                <w:rFonts w:ascii="Aptos" w:hAnsi="Aptos"/>
                <w:b/>
                <w:color w:val="FFFFFF"/>
                <w:sz w:val="16"/>
              </w:rPr>
              <w:t>Evidence / source</w:t>
            </w:r>
          </w:p>
        </w:tc>
        <w:tc>
          <w:tcPr>
            <w:tcW w:type="dxa" w:w="2880"/>
            <w:vAlign w:val="center"/>
            <w:shd w:fill="123A5A"/>
          </w:tcPr>
          <w:p>
            <w:r/>
            <w:r>
              <w:rPr>
                <w:rFonts w:ascii="Aptos" w:hAnsi="Aptos"/>
                <w:b/>
                <w:color w:val="FFFFFF"/>
                <w:sz w:val="16"/>
              </w:rPr>
              <w:t>Owner / comments</w:t>
            </w:r>
          </w:p>
        </w:tc>
      </w:tr>
      <w:tr>
        <w:trPr>
          <w:cantSplit/>
        </w:trPr>
        <w:tc>
          <w:tcPr>
            <w:tcW w:type="dxa" w:w="3888"/>
            <w:vAlign w:val="center"/>
          </w:tcPr>
          <w:p>
            <w:r/>
            <w:r>
              <w:rPr>
                <w:rFonts w:ascii="Aptos" w:hAnsi="Aptos"/>
                <w:b w:val="0"/>
                <w:sz w:val="13"/>
              </w:rPr>
              <w:t>Incident management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Problem management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Vendor escalation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Root-cause analysis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Knowledge transfer</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Operational reconciliation</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Truck KPIs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Rail KPIs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Financial KPIs</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r>
        <w:trPr>
          <w:cantSplit/>
        </w:trPr>
        <w:tc>
          <w:tcPr>
            <w:tcW w:type="dxa" w:w="3888"/>
            <w:vAlign w:val="center"/>
          </w:tcPr>
          <w:p>
            <w:r/>
            <w:r>
              <w:rPr>
                <w:rFonts w:ascii="Aptos" w:hAnsi="Aptos"/>
                <w:b w:val="0"/>
                <w:sz w:val="13"/>
              </w:rPr>
              <w:t>Power BI/data export</w:t>
            </w:r>
          </w:p>
        </w:tc>
        <w:tc>
          <w:tcPr>
            <w:tcW w:type="dxa" w:w="792"/>
            <w:vAlign w:val="center"/>
          </w:tcPr>
          <w:p>
            <w:r/>
            <w:r>
              <w:rPr>
                <w:rFonts w:ascii="Aptos" w:hAnsi="Aptos"/>
                <w:b w:val="0"/>
                <w:sz w:val="13"/>
              </w:rPr>
            </w:r>
          </w:p>
        </w:tc>
        <w:tc>
          <w:tcPr>
            <w:tcW w:type="dxa" w:w="792"/>
            <w:vAlign w:val="center"/>
          </w:tcPr>
          <w:p>
            <w:r/>
            <w:r>
              <w:rPr>
                <w:rFonts w:ascii="Aptos" w:hAnsi="Aptos"/>
                <w:b w:val="0"/>
                <w:sz w:val="13"/>
              </w:rPr>
            </w:r>
          </w:p>
        </w:tc>
        <w:tc>
          <w:tcPr>
            <w:tcW w:type="dxa" w:w="1080"/>
            <w:vAlign w:val="center"/>
          </w:tcPr>
          <w:p>
            <w:r/>
            <w:r>
              <w:rPr>
                <w:rFonts w:ascii="Aptos" w:hAnsi="Aptos"/>
                <w:b w:val="0"/>
                <w:sz w:val="13"/>
              </w:rPr>
            </w:r>
          </w:p>
        </w:tc>
        <w:tc>
          <w:tcPr>
            <w:tcW w:type="dxa" w:w="2088"/>
            <w:vAlign w:val="center"/>
          </w:tcPr>
          <w:p>
            <w:r/>
            <w:r>
              <w:rPr>
                <w:rFonts w:ascii="Aptos" w:hAnsi="Aptos"/>
                <w:b w:val="0"/>
                <w:sz w:val="13"/>
              </w:rPr>
            </w:r>
          </w:p>
        </w:tc>
        <w:tc>
          <w:tcPr>
            <w:tcW w:type="dxa" w:w="2880"/>
            <w:vAlign w:val="center"/>
          </w:tcPr>
          <w:p>
            <w:r/>
            <w:r>
              <w:rPr>
                <w:rFonts w:ascii="Aptos" w:hAnsi="Aptos"/>
                <w:b w:val="0"/>
                <w:sz w:val="13"/>
              </w:rPr>
            </w:r>
          </w:p>
        </w:tc>
      </w:tr>
    </w:tbl>
    <w:p>
      <w:pPr>
        <w:spacing w:after="20"/>
      </w:pPr>
    </w:p>
    <w:p>
      <w:pPr>
        <w:pStyle w:val="Heading2"/>
      </w:pPr>
      <w:r>
        <w:t>8.2 Executive heat-map bands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584"/>
            <w:vAlign w:val="center"/>
            <w:shd w:fill="123A5A"/>
          </w:tcPr>
          <w:p>
            <w:r/>
            <w:r>
              <w:rPr>
                <w:rFonts w:ascii="Aptos" w:hAnsi="Aptos"/>
                <w:b/>
                <w:color w:val="FFFFFF"/>
                <w:sz w:val="16"/>
              </w:rPr>
              <w:t>Band</w:t>
            </w:r>
          </w:p>
        </w:tc>
        <w:tc>
          <w:tcPr>
            <w:tcW w:type="dxa" w:w="1440"/>
            <w:vAlign w:val="center"/>
            <w:shd w:fill="123A5A"/>
          </w:tcPr>
          <w:p>
            <w:r/>
            <w:r>
              <w:rPr>
                <w:rFonts w:ascii="Aptos" w:hAnsi="Aptos"/>
                <w:b/>
                <w:color w:val="FFFFFF"/>
                <w:sz w:val="16"/>
              </w:rPr>
              <w:t>Range</w:t>
            </w:r>
          </w:p>
        </w:tc>
        <w:tc>
          <w:tcPr>
            <w:tcW w:type="dxa" w:w="6912"/>
            <w:vAlign w:val="center"/>
            <w:shd w:fill="123A5A"/>
          </w:tcPr>
          <w:p>
            <w:r/>
            <w:r>
              <w:rPr>
                <w:rFonts w:ascii="Aptos" w:hAnsi="Aptos"/>
                <w:b/>
                <w:color w:val="FFFFFF"/>
                <w:sz w:val="16"/>
              </w:rPr>
              <w:t>Interpretation</w:t>
            </w:r>
          </w:p>
        </w:tc>
      </w:tr>
      <w:tr>
        <w:trPr>
          <w:cantSplit/>
        </w:trPr>
        <w:tc>
          <w:tcPr>
            <w:tcW w:type="dxa" w:w="1584"/>
            <w:vAlign w:val="center"/>
          </w:tcPr>
          <w:p>
            <w:r/>
            <w:r>
              <w:rPr>
                <w:rFonts w:ascii="Aptos" w:hAnsi="Aptos"/>
                <w:b w:val="0"/>
                <w:sz w:val="16"/>
              </w:rPr>
              <w:t>Dark green</w:t>
            </w:r>
          </w:p>
        </w:tc>
        <w:tc>
          <w:tcPr>
            <w:tcW w:type="dxa" w:w="1440"/>
            <w:vAlign w:val="center"/>
          </w:tcPr>
          <w:p>
            <w:r/>
            <w:r>
              <w:rPr>
                <w:rFonts w:ascii="Aptos" w:hAnsi="Aptos"/>
                <w:b w:val="0"/>
                <w:sz w:val="16"/>
              </w:rPr>
              <w:t>4.5-5.0</w:t>
            </w:r>
          </w:p>
        </w:tc>
        <w:tc>
          <w:tcPr>
            <w:tcW w:type="dxa" w:w="6912"/>
            <w:vAlign w:val="center"/>
          </w:tcPr>
          <w:p>
            <w:r/>
            <w:r>
              <w:rPr>
                <w:rFonts w:ascii="Aptos" w:hAnsi="Aptos"/>
                <w:b w:val="0"/>
                <w:sz w:val="16"/>
              </w:rPr>
              <w:t>Strategic strength</w:t>
            </w:r>
          </w:p>
        </w:tc>
      </w:tr>
      <w:tr>
        <w:trPr>
          <w:cantSplit/>
        </w:trPr>
        <w:tc>
          <w:tcPr>
            <w:tcW w:type="dxa" w:w="1584"/>
            <w:vAlign w:val="center"/>
          </w:tcPr>
          <w:p>
            <w:r/>
            <w:r>
              <w:rPr>
                <w:rFonts w:ascii="Aptos" w:hAnsi="Aptos"/>
                <w:b w:val="0"/>
                <w:sz w:val="16"/>
              </w:rPr>
              <w:t>Green</w:t>
            </w:r>
          </w:p>
        </w:tc>
        <w:tc>
          <w:tcPr>
            <w:tcW w:type="dxa" w:w="1440"/>
            <w:vAlign w:val="center"/>
          </w:tcPr>
          <w:p>
            <w:r/>
            <w:r>
              <w:rPr>
                <w:rFonts w:ascii="Aptos" w:hAnsi="Aptos"/>
                <w:b w:val="0"/>
                <w:sz w:val="16"/>
              </w:rPr>
              <w:t>3.5-4.4</w:t>
            </w:r>
          </w:p>
        </w:tc>
        <w:tc>
          <w:tcPr>
            <w:tcW w:type="dxa" w:w="6912"/>
            <w:vAlign w:val="center"/>
          </w:tcPr>
          <w:p>
            <w:r/>
            <w:r>
              <w:rPr>
                <w:rFonts w:ascii="Aptos" w:hAnsi="Aptos"/>
                <w:b w:val="0"/>
                <w:sz w:val="16"/>
              </w:rPr>
              <w:t>Healthy</w:t>
            </w:r>
          </w:p>
        </w:tc>
      </w:tr>
      <w:tr>
        <w:trPr>
          <w:cantSplit/>
        </w:trPr>
        <w:tc>
          <w:tcPr>
            <w:tcW w:type="dxa" w:w="1584"/>
            <w:vAlign w:val="center"/>
          </w:tcPr>
          <w:p>
            <w:r/>
            <w:r>
              <w:rPr>
                <w:rFonts w:ascii="Aptos" w:hAnsi="Aptos"/>
                <w:b w:val="0"/>
                <w:sz w:val="16"/>
              </w:rPr>
              <w:t>Yellow</w:t>
            </w:r>
          </w:p>
        </w:tc>
        <w:tc>
          <w:tcPr>
            <w:tcW w:type="dxa" w:w="1440"/>
            <w:vAlign w:val="center"/>
          </w:tcPr>
          <w:p>
            <w:r/>
            <w:r>
              <w:rPr>
                <w:rFonts w:ascii="Aptos" w:hAnsi="Aptos"/>
                <w:b w:val="0"/>
                <w:sz w:val="16"/>
              </w:rPr>
              <w:t>2.5-3.4</w:t>
            </w:r>
          </w:p>
        </w:tc>
        <w:tc>
          <w:tcPr>
            <w:tcW w:type="dxa" w:w="6912"/>
            <w:vAlign w:val="center"/>
          </w:tcPr>
          <w:p>
            <w:r/>
            <w:r>
              <w:rPr>
                <w:rFonts w:ascii="Aptos" w:hAnsi="Aptos"/>
                <w:b w:val="0"/>
                <w:sz w:val="16"/>
              </w:rPr>
              <w:t>Needs improvement</w:t>
            </w:r>
          </w:p>
        </w:tc>
      </w:tr>
      <w:tr>
        <w:trPr>
          <w:cantSplit/>
        </w:trPr>
        <w:tc>
          <w:tcPr>
            <w:tcW w:type="dxa" w:w="1584"/>
            <w:vAlign w:val="center"/>
          </w:tcPr>
          <w:p>
            <w:r/>
            <w:r>
              <w:rPr>
                <w:rFonts w:ascii="Aptos" w:hAnsi="Aptos"/>
                <w:b w:val="0"/>
                <w:sz w:val="16"/>
              </w:rPr>
              <w:t>Orange</w:t>
            </w:r>
          </w:p>
        </w:tc>
        <w:tc>
          <w:tcPr>
            <w:tcW w:type="dxa" w:w="1440"/>
            <w:vAlign w:val="center"/>
          </w:tcPr>
          <w:p>
            <w:r/>
            <w:r>
              <w:rPr>
                <w:rFonts w:ascii="Aptos" w:hAnsi="Aptos"/>
                <w:b w:val="0"/>
                <w:sz w:val="16"/>
              </w:rPr>
              <w:t>1.5-2.4</w:t>
            </w:r>
          </w:p>
        </w:tc>
        <w:tc>
          <w:tcPr>
            <w:tcW w:type="dxa" w:w="6912"/>
            <w:vAlign w:val="center"/>
          </w:tcPr>
          <w:p>
            <w:r/>
            <w:r>
              <w:rPr>
                <w:rFonts w:ascii="Aptos" w:hAnsi="Aptos"/>
                <w:b w:val="0"/>
                <w:sz w:val="16"/>
              </w:rPr>
              <w:t>Significant concern</w:t>
            </w:r>
          </w:p>
        </w:tc>
      </w:tr>
      <w:tr>
        <w:trPr>
          <w:cantSplit/>
        </w:trPr>
        <w:tc>
          <w:tcPr>
            <w:tcW w:type="dxa" w:w="1584"/>
            <w:vAlign w:val="center"/>
          </w:tcPr>
          <w:p>
            <w:r/>
            <w:r>
              <w:rPr>
                <w:rFonts w:ascii="Aptos" w:hAnsi="Aptos"/>
                <w:b w:val="0"/>
                <w:sz w:val="16"/>
              </w:rPr>
              <w:t>Red</w:t>
            </w:r>
          </w:p>
        </w:tc>
        <w:tc>
          <w:tcPr>
            <w:tcW w:type="dxa" w:w="1440"/>
            <w:vAlign w:val="center"/>
          </w:tcPr>
          <w:p>
            <w:r/>
            <w:r>
              <w:rPr>
                <w:rFonts w:ascii="Aptos" w:hAnsi="Aptos"/>
                <w:b w:val="0"/>
                <w:sz w:val="16"/>
              </w:rPr>
              <w:t>0.0-1.4</w:t>
            </w:r>
          </w:p>
        </w:tc>
        <w:tc>
          <w:tcPr>
            <w:tcW w:type="dxa" w:w="6912"/>
            <w:vAlign w:val="center"/>
          </w:tcPr>
          <w:p>
            <w:r/>
            <w:r>
              <w:rPr>
                <w:rFonts w:ascii="Aptos" w:hAnsi="Aptos"/>
                <w:b w:val="0"/>
                <w:sz w:val="16"/>
              </w:rPr>
              <w:t>Modernization or replacement candidate</w:t>
            </w:r>
          </w:p>
        </w:tc>
      </w:tr>
    </w:tbl>
    <w:p>
      <w:pPr>
        <w:spacing w:after="20"/>
      </w:pPr>
    </w:p>
    <w:p>
      <w:r>
        <w:br w:type="page"/>
      </w:r>
    </w:p>
    <w:p>
      <w:pPr>
        <w:pStyle w:val="Heading1"/>
      </w:pPr>
      <w:r>
        <w:t>9. Scoring, Evidence and Governance</w:t>
      </w:r>
    </w:p>
    <w:p>
      <w:pPr>
        <w:pStyle w:val="Heading2"/>
      </w:pPr>
      <w:r>
        <w:t>9.1 Functional-fit score</w:t>
      </w:r>
    </w:p>
    <w:tbl>
      <w:tblPr>
        <w:tblStyle w:val="TableGrid"/>
        <w:tblW w:type="auto" w:w="0"/>
        <w:jc w:val="center"/>
        <w:tblLook w:firstColumn="1" w:firstRow="1" w:lastColumn="0" w:lastRow="0" w:noHBand="0" w:noVBand="1" w:val="04A0"/>
      </w:tblPr>
      <w:tblGrid>
        <w:gridCol w:w="5112"/>
        <w:gridCol w:w="5112"/>
      </w:tblGrid>
      <w:tr>
        <w:trPr>
          <w:cantSplit/>
        </w:trPr>
        <w:tc>
          <w:tcPr>
            <w:tcW w:type="dxa" w:w="1152"/>
            <w:vAlign w:val="center"/>
            <w:shd w:fill="123A5A"/>
          </w:tcPr>
          <w:p>
            <w:r/>
            <w:r>
              <w:rPr>
                <w:rFonts w:ascii="Aptos" w:hAnsi="Aptos"/>
                <w:b/>
                <w:color w:val="FFFFFF"/>
                <w:sz w:val="16"/>
              </w:rPr>
              <w:t>Score</w:t>
            </w:r>
          </w:p>
        </w:tc>
        <w:tc>
          <w:tcPr>
            <w:tcW w:type="dxa" w:w="8352"/>
            <w:vAlign w:val="center"/>
            <w:shd w:fill="123A5A"/>
          </w:tcPr>
          <w:p>
            <w:r/>
            <w:r>
              <w:rPr>
                <w:rFonts w:ascii="Aptos" w:hAnsi="Aptos"/>
                <w:b/>
                <w:color w:val="FFFFFF"/>
                <w:sz w:val="16"/>
              </w:rPr>
              <w:t>Meaning</w:t>
            </w:r>
          </w:p>
        </w:tc>
      </w:tr>
      <w:tr>
        <w:trPr>
          <w:cantSplit/>
        </w:trPr>
        <w:tc>
          <w:tcPr>
            <w:tcW w:type="dxa" w:w="1152"/>
            <w:vAlign w:val="center"/>
          </w:tcPr>
          <w:p>
            <w:r/>
            <w:r>
              <w:rPr>
                <w:rFonts w:ascii="Aptos" w:hAnsi="Aptos"/>
                <w:b w:val="0"/>
                <w:sz w:val="16"/>
              </w:rPr>
              <w:t>0</w:t>
            </w:r>
          </w:p>
        </w:tc>
        <w:tc>
          <w:tcPr>
            <w:tcW w:type="dxa" w:w="8352"/>
            <w:vAlign w:val="center"/>
          </w:tcPr>
          <w:p>
            <w:r/>
            <w:r>
              <w:rPr>
                <w:rFonts w:ascii="Aptos" w:hAnsi="Aptos"/>
                <w:b w:val="0"/>
                <w:sz w:val="16"/>
              </w:rPr>
              <w:t>Not available</w:t>
            </w:r>
          </w:p>
        </w:tc>
      </w:tr>
      <w:tr>
        <w:trPr>
          <w:cantSplit/>
        </w:trPr>
        <w:tc>
          <w:tcPr>
            <w:tcW w:type="dxa" w:w="1152"/>
            <w:vAlign w:val="center"/>
          </w:tcPr>
          <w:p>
            <w:r/>
            <w:r>
              <w:rPr>
                <w:rFonts w:ascii="Aptos" w:hAnsi="Aptos"/>
                <w:b w:val="0"/>
                <w:sz w:val="16"/>
              </w:rPr>
              <w:t>1</w:t>
            </w:r>
          </w:p>
        </w:tc>
        <w:tc>
          <w:tcPr>
            <w:tcW w:type="dxa" w:w="8352"/>
            <w:vAlign w:val="center"/>
          </w:tcPr>
          <w:p>
            <w:r/>
            <w:r>
              <w:rPr>
                <w:rFonts w:ascii="Aptos" w:hAnsi="Aptos"/>
                <w:b w:val="0"/>
                <w:sz w:val="16"/>
              </w:rPr>
              <w:t>External manual process required</w:t>
            </w:r>
          </w:p>
        </w:tc>
      </w:tr>
      <w:tr>
        <w:trPr>
          <w:cantSplit/>
        </w:trPr>
        <w:tc>
          <w:tcPr>
            <w:tcW w:type="dxa" w:w="1152"/>
            <w:vAlign w:val="center"/>
          </w:tcPr>
          <w:p>
            <w:r/>
            <w:r>
              <w:rPr>
                <w:rFonts w:ascii="Aptos" w:hAnsi="Aptos"/>
                <w:b w:val="0"/>
                <w:sz w:val="16"/>
              </w:rPr>
              <w:t>2</w:t>
            </w:r>
          </w:p>
        </w:tc>
        <w:tc>
          <w:tcPr>
            <w:tcW w:type="dxa" w:w="8352"/>
            <w:vAlign w:val="center"/>
          </w:tcPr>
          <w:p>
            <w:r/>
            <w:r>
              <w:rPr>
                <w:rFonts w:ascii="Aptos" w:hAnsi="Aptos"/>
                <w:b w:val="0"/>
                <w:sz w:val="16"/>
              </w:rPr>
              <w:t>Major customization or separate product required</w:t>
            </w:r>
          </w:p>
        </w:tc>
      </w:tr>
      <w:tr>
        <w:trPr>
          <w:cantSplit/>
        </w:trPr>
        <w:tc>
          <w:tcPr>
            <w:tcW w:type="dxa" w:w="1152"/>
            <w:vAlign w:val="center"/>
          </w:tcPr>
          <w:p>
            <w:r/>
            <w:r>
              <w:rPr>
                <w:rFonts w:ascii="Aptos" w:hAnsi="Aptos"/>
                <w:b w:val="0"/>
                <w:sz w:val="16"/>
              </w:rPr>
              <w:t>3</w:t>
            </w:r>
          </w:p>
        </w:tc>
        <w:tc>
          <w:tcPr>
            <w:tcW w:type="dxa" w:w="8352"/>
            <w:vAlign w:val="center"/>
          </w:tcPr>
          <w:p>
            <w:r/>
            <w:r>
              <w:rPr>
                <w:rFonts w:ascii="Aptos" w:hAnsi="Aptos"/>
                <w:b w:val="0"/>
                <w:sz w:val="16"/>
              </w:rPr>
              <w:t>Available through configuration or standard partner</w:t>
            </w:r>
          </w:p>
        </w:tc>
      </w:tr>
      <w:tr>
        <w:trPr>
          <w:cantSplit/>
        </w:trPr>
        <w:tc>
          <w:tcPr>
            <w:tcW w:type="dxa" w:w="1152"/>
            <w:vAlign w:val="center"/>
          </w:tcPr>
          <w:p>
            <w:r/>
            <w:r>
              <w:rPr>
                <w:rFonts w:ascii="Aptos" w:hAnsi="Aptos"/>
                <w:b w:val="0"/>
                <w:sz w:val="16"/>
              </w:rPr>
              <w:t>4</w:t>
            </w:r>
          </w:p>
        </w:tc>
        <w:tc>
          <w:tcPr>
            <w:tcW w:type="dxa" w:w="8352"/>
            <w:vAlign w:val="center"/>
          </w:tcPr>
          <w:p>
            <w:r/>
            <w:r>
              <w:rPr>
                <w:rFonts w:ascii="Aptos" w:hAnsi="Aptos"/>
                <w:b w:val="0"/>
                <w:sz w:val="16"/>
              </w:rPr>
              <w:t>Strong native capability</w:t>
            </w:r>
          </w:p>
        </w:tc>
      </w:tr>
      <w:tr>
        <w:trPr>
          <w:cantSplit/>
        </w:trPr>
        <w:tc>
          <w:tcPr>
            <w:tcW w:type="dxa" w:w="1152"/>
            <w:vAlign w:val="center"/>
          </w:tcPr>
          <w:p>
            <w:r/>
            <w:r>
              <w:rPr>
                <w:rFonts w:ascii="Aptos" w:hAnsi="Aptos"/>
                <w:b w:val="0"/>
                <w:sz w:val="16"/>
              </w:rPr>
              <w:t>5</w:t>
            </w:r>
          </w:p>
        </w:tc>
        <w:tc>
          <w:tcPr>
            <w:tcW w:type="dxa" w:w="8352"/>
            <w:vAlign w:val="center"/>
          </w:tcPr>
          <w:p>
            <w:r/>
            <w:r>
              <w:rPr>
                <w:rFonts w:ascii="Aptos" w:hAnsi="Aptos"/>
                <w:b w:val="0"/>
                <w:sz w:val="16"/>
              </w:rPr>
              <w:t>Advanced native capability validated through an Interfor scenario</w:t>
            </w:r>
          </w:p>
        </w:tc>
      </w:tr>
    </w:tbl>
    <w:p>
      <w:pPr>
        <w:spacing w:after="20"/>
      </w:pPr>
    </w:p>
    <w:p>
      <w:pPr>
        <w:pStyle w:val="Heading2"/>
      </w:pPr>
      <w:r>
        <w:t>9.2 Evidence strength</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008"/>
            <w:vAlign w:val="center"/>
            <w:shd w:fill="123A5A"/>
          </w:tcPr>
          <w:p>
            <w:r/>
            <w:r>
              <w:rPr>
                <w:rFonts w:ascii="Aptos" w:hAnsi="Aptos"/>
                <w:b/>
                <w:color w:val="FFFFFF"/>
                <w:sz w:val="16"/>
              </w:rPr>
              <w:t>Code</w:t>
            </w:r>
          </w:p>
        </w:tc>
        <w:tc>
          <w:tcPr>
            <w:tcW w:type="dxa" w:w="6768"/>
            <w:vAlign w:val="center"/>
            <w:shd w:fill="123A5A"/>
          </w:tcPr>
          <w:p>
            <w:r/>
            <w:r>
              <w:rPr>
                <w:rFonts w:ascii="Aptos" w:hAnsi="Aptos"/>
                <w:b/>
                <w:color w:val="FFFFFF"/>
                <w:sz w:val="16"/>
              </w:rPr>
              <w:t>Evidence</w:t>
            </w:r>
          </w:p>
        </w:tc>
        <w:tc>
          <w:tcPr>
            <w:tcW w:type="dxa" w:w="1728"/>
            <w:vAlign w:val="center"/>
            <w:shd w:fill="123A5A"/>
          </w:tcPr>
          <w:p>
            <w:r/>
            <w:r>
              <w:rPr>
                <w:rFonts w:ascii="Aptos" w:hAnsi="Aptos"/>
                <w:b/>
                <w:color w:val="FFFFFF"/>
                <w:sz w:val="16"/>
              </w:rPr>
              <w:t>Suggested factor</w:t>
            </w:r>
          </w:p>
        </w:tc>
      </w:tr>
      <w:tr>
        <w:trPr>
          <w:cantSplit/>
        </w:trPr>
        <w:tc>
          <w:tcPr>
            <w:tcW w:type="dxa" w:w="1008"/>
            <w:vAlign w:val="center"/>
          </w:tcPr>
          <w:p>
            <w:r/>
            <w:r>
              <w:rPr>
                <w:rFonts w:ascii="Aptos" w:hAnsi="Aptos"/>
                <w:b w:val="0"/>
                <w:sz w:val="16"/>
              </w:rPr>
              <w:t>U</w:t>
            </w:r>
          </w:p>
        </w:tc>
        <w:tc>
          <w:tcPr>
            <w:tcW w:type="dxa" w:w="6768"/>
            <w:vAlign w:val="center"/>
          </w:tcPr>
          <w:p>
            <w:r/>
            <w:r>
              <w:rPr>
                <w:rFonts w:ascii="Aptos" w:hAnsi="Aptos"/>
                <w:b w:val="0"/>
                <w:sz w:val="16"/>
              </w:rPr>
              <w:t>Vendor assertion only</w:t>
            </w:r>
          </w:p>
        </w:tc>
        <w:tc>
          <w:tcPr>
            <w:tcW w:type="dxa" w:w="1728"/>
            <w:vAlign w:val="center"/>
          </w:tcPr>
          <w:p>
            <w:r/>
            <w:r>
              <w:rPr>
                <w:rFonts w:ascii="Aptos" w:hAnsi="Aptos"/>
                <w:b w:val="0"/>
                <w:sz w:val="16"/>
              </w:rPr>
              <w:t>0.40</w:t>
            </w:r>
          </w:p>
        </w:tc>
      </w:tr>
      <w:tr>
        <w:trPr>
          <w:cantSplit/>
        </w:trPr>
        <w:tc>
          <w:tcPr>
            <w:tcW w:type="dxa" w:w="1008"/>
            <w:vAlign w:val="center"/>
          </w:tcPr>
          <w:p>
            <w:r/>
            <w:r>
              <w:rPr>
                <w:rFonts w:ascii="Aptos" w:hAnsi="Aptos"/>
                <w:b w:val="0"/>
                <w:sz w:val="16"/>
              </w:rPr>
              <w:t>D</w:t>
            </w:r>
          </w:p>
        </w:tc>
        <w:tc>
          <w:tcPr>
            <w:tcW w:type="dxa" w:w="6768"/>
            <w:vAlign w:val="center"/>
          </w:tcPr>
          <w:p>
            <w:r/>
            <w:r>
              <w:rPr>
                <w:rFonts w:ascii="Aptos" w:hAnsi="Aptos"/>
                <w:b w:val="0"/>
                <w:sz w:val="16"/>
              </w:rPr>
              <w:t>Product documentation reviewed</w:t>
            </w:r>
          </w:p>
        </w:tc>
        <w:tc>
          <w:tcPr>
            <w:tcW w:type="dxa" w:w="1728"/>
            <w:vAlign w:val="center"/>
          </w:tcPr>
          <w:p>
            <w:r/>
            <w:r>
              <w:rPr>
                <w:rFonts w:ascii="Aptos" w:hAnsi="Aptos"/>
                <w:b w:val="0"/>
                <w:sz w:val="16"/>
              </w:rPr>
              <w:t>0.60</w:t>
            </w:r>
          </w:p>
        </w:tc>
      </w:tr>
      <w:tr>
        <w:trPr>
          <w:cantSplit/>
        </w:trPr>
        <w:tc>
          <w:tcPr>
            <w:tcW w:type="dxa" w:w="1008"/>
            <w:vAlign w:val="center"/>
          </w:tcPr>
          <w:p>
            <w:r/>
            <w:r>
              <w:rPr>
                <w:rFonts w:ascii="Aptos" w:hAnsi="Aptos"/>
                <w:b w:val="0"/>
                <w:sz w:val="16"/>
              </w:rPr>
              <w:t>C</w:t>
            </w:r>
          </w:p>
        </w:tc>
        <w:tc>
          <w:tcPr>
            <w:tcW w:type="dxa" w:w="6768"/>
            <w:vAlign w:val="center"/>
          </w:tcPr>
          <w:p>
            <w:r/>
            <w:r>
              <w:rPr>
                <w:rFonts w:ascii="Aptos" w:hAnsi="Aptos"/>
                <w:b w:val="0"/>
                <w:sz w:val="16"/>
              </w:rPr>
              <w:t>Configuration demonstrated</w:t>
            </w:r>
          </w:p>
        </w:tc>
        <w:tc>
          <w:tcPr>
            <w:tcW w:type="dxa" w:w="1728"/>
            <w:vAlign w:val="center"/>
          </w:tcPr>
          <w:p>
            <w:r/>
            <w:r>
              <w:rPr>
                <w:rFonts w:ascii="Aptos" w:hAnsi="Aptos"/>
                <w:b w:val="0"/>
                <w:sz w:val="16"/>
              </w:rPr>
              <w:t>0.75</w:t>
            </w:r>
          </w:p>
        </w:tc>
      </w:tr>
      <w:tr>
        <w:trPr>
          <w:cantSplit/>
        </w:trPr>
        <w:tc>
          <w:tcPr>
            <w:tcW w:type="dxa" w:w="1008"/>
            <w:vAlign w:val="center"/>
          </w:tcPr>
          <w:p>
            <w:r/>
            <w:r>
              <w:rPr>
                <w:rFonts w:ascii="Aptos" w:hAnsi="Aptos"/>
                <w:b w:val="0"/>
                <w:sz w:val="16"/>
              </w:rPr>
              <w:t>S</w:t>
            </w:r>
          </w:p>
        </w:tc>
        <w:tc>
          <w:tcPr>
            <w:tcW w:type="dxa" w:w="6768"/>
            <w:vAlign w:val="center"/>
          </w:tcPr>
          <w:p>
            <w:r/>
            <w:r>
              <w:rPr>
                <w:rFonts w:ascii="Aptos" w:hAnsi="Aptos"/>
                <w:b w:val="0"/>
                <w:sz w:val="16"/>
              </w:rPr>
              <w:t>Interfor scenario executed</w:t>
            </w:r>
          </w:p>
        </w:tc>
        <w:tc>
          <w:tcPr>
            <w:tcW w:type="dxa" w:w="1728"/>
            <w:vAlign w:val="center"/>
          </w:tcPr>
          <w:p>
            <w:r/>
            <w:r>
              <w:rPr>
                <w:rFonts w:ascii="Aptos" w:hAnsi="Aptos"/>
                <w:b w:val="0"/>
                <w:sz w:val="16"/>
              </w:rPr>
              <w:t>0.90</w:t>
            </w:r>
          </w:p>
        </w:tc>
      </w:tr>
      <w:tr>
        <w:trPr>
          <w:cantSplit/>
        </w:trPr>
        <w:tc>
          <w:tcPr>
            <w:tcW w:type="dxa" w:w="1008"/>
            <w:vAlign w:val="center"/>
          </w:tcPr>
          <w:p>
            <w:r/>
            <w:r>
              <w:rPr>
                <w:rFonts w:ascii="Aptos" w:hAnsi="Aptos"/>
                <w:b w:val="0"/>
                <w:sz w:val="16"/>
              </w:rPr>
              <w:t>T</w:t>
            </w:r>
          </w:p>
        </w:tc>
        <w:tc>
          <w:tcPr>
            <w:tcW w:type="dxa" w:w="6768"/>
            <w:vAlign w:val="center"/>
          </w:tcPr>
          <w:p>
            <w:r/>
            <w:r>
              <w:rPr>
                <w:rFonts w:ascii="Aptos" w:hAnsi="Aptos"/>
                <w:b w:val="0"/>
                <w:sz w:val="16"/>
              </w:rPr>
              <w:t>Technical artifact inspected</w:t>
            </w:r>
          </w:p>
        </w:tc>
        <w:tc>
          <w:tcPr>
            <w:tcW w:type="dxa" w:w="1728"/>
            <w:vAlign w:val="center"/>
          </w:tcPr>
          <w:p>
            <w:r/>
            <w:r>
              <w:rPr>
                <w:rFonts w:ascii="Aptos" w:hAnsi="Aptos"/>
                <w:b w:val="0"/>
                <w:sz w:val="16"/>
              </w:rPr>
              <w:t>0.95</w:t>
            </w:r>
          </w:p>
        </w:tc>
      </w:tr>
      <w:tr>
        <w:trPr>
          <w:cantSplit/>
        </w:trPr>
        <w:tc>
          <w:tcPr>
            <w:tcW w:type="dxa" w:w="1008"/>
            <w:vAlign w:val="center"/>
          </w:tcPr>
          <w:p>
            <w:r/>
            <w:r>
              <w:rPr>
                <w:rFonts w:ascii="Aptos" w:hAnsi="Aptos"/>
                <w:b w:val="0"/>
                <w:sz w:val="16"/>
              </w:rPr>
              <w:t>R</w:t>
            </w:r>
          </w:p>
        </w:tc>
        <w:tc>
          <w:tcPr>
            <w:tcW w:type="dxa" w:w="6768"/>
            <w:vAlign w:val="center"/>
          </w:tcPr>
          <w:p>
            <w:r/>
            <w:r>
              <w:rPr>
                <w:rFonts w:ascii="Aptos" w:hAnsi="Aptos"/>
                <w:b w:val="0"/>
                <w:sz w:val="16"/>
              </w:rPr>
              <w:t>Customer reference validated</w:t>
            </w:r>
          </w:p>
        </w:tc>
        <w:tc>
          <w:tcPr>
            <w:tcW w:type="dxa" w:w="1728"/>
            <w:vAlign w:val="center"/>
          </w:tcPr>
          <w:p>
            <w:r/>
            <w:r>
              <w:rPr>
                <w:rFonts w:ascii="Aptos" w:hAnsi="Aptos"/>
                <w:b w:val="0"/>
                <w:sz w:val="16"/>
              </w:rPr>
              <w:t>0.95</w:t>
            </w:r>
          </w:p>
        </w:tc>
      </w:tr>
      <w:tr>
        <w:trPr>
          <w:cantSplit/>
        </w:trPr>
        <w:tc>
          <w:tcPr>
            <w:tcW w:type="dxa" w:w="1008"/>
            <w:vAlign w:val="center"/>
          </w:tcPr>
          <w:p>
            <w:r/>
            <w:r>
              <w:rPr>
                <w:rFonts w:ascii="Aptos" w:hAnsi="Aptos"/>
                <w:b w:val="0"/>
                <w:sz w:val="16"/>
              </w:rPr>
              <w:t>P</w:t>
            </w:r>
          </w:p>
        </w:tc>
        <w:tc>
          <w:tcPr>
            <w:tcW w:type="dxa" w:w="6768"/>
            <w:vAlign w:val="center"/>
          </w:tcPr>
          <w:p>
            <w:r/>
            <w:r>
              <w:rPr>
                <w:rFonts w:ascii="Aptos" w:hAnsi="Aptos"/>
                <w:b w:val="0"/>
                <w:sz w:val="16"/>
              </w:rPr>
              <w:t>Production evidence or measured result</w:t>
            </w:r>
          </w:p>
        </w:tc>
        <w:tc>
          <w:tcPr>
            <w:tcW w:type="dxa" w:w="1728"/>
            <w:vAlign w:val="center"/>
          </w:tcPr>
          <w:p>
            <w:r/>
            <w:r>
              <w:rPr>
                <w:rFonts w:ascii="Aptos" w:hAnsi="Aptos"/>
                <w:b w:val="0"/>
                <w:sz w:val="16"/>
              </w:rPr>
              <w:t>1.00</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2CC"/>
          </w:tcPr>
          <w:p>
            <w:r>
              <w:rPr>
                <w:b/>
                <w:color w:val="123A5A"/>
                <w:sz w:val="20"/>
              </w:rPr>
              <w:t>Evidence-adjusted fit</w:t>
              <w:br/>
            </w:r>
            <w:r>
              <w:rPr>
                <w:sz w:val="18"/>
              </w:rPr>
              <w:t>Functional fit x Evidence factor x Criticality factor. A score of 5 should not be accepted when the only support is a vendor assertion or generic documentation.</w:t>
            </w:r>
          </w:p>
        </w:tc>
      </w:tr>
    </w:tbl>
    <w:p>
      <w:pPr>
        <w:spacing w:after="20"/>
      </w:pPr>
    </w:p>
    <w:p>
      <w:pPr>
        <w:pStyle w:val="Heading2"/>
      </w:pPr>
      <w:r>
        <w:t>9.3 Delivery-impact fields</w:t>
      </w:r>
    </w:p>
    <w:p>
      <w:pPr>
        <w:pStyle w:val="ListBullet"/>
        <w:spacing w:after="20"/>
      </w:pPr>
      <w:r>
        <w:t>Native module</w:t>
      </w:r>
    </w:p>
    <w:p>
      <w:pPr>
        <w:pStyle w:val="ListBullet"/>
        <w:spacing w:after="20"/>
      </w:pPr>
      <w:r>
        <w:t>Optional licensed module</w:t>
      </w:r>
    </w:p>
    <w:p>
      <w:pPr>
        <w:pStyle w:val="ListBullet"/>
        <w:spacing w:after="20"/>
      </w:pPr>
      <w:r>
        <w:t>Partner solution</w:t>
      </w:r>
    </w:p>
    <w:p>
      <w:pPr>
        <w:pStyle w:val="ListBullet"/>
        <w:spacing w:after="20"/>
      </w:pPr>
      <w:r>
        <w:t>Customization</w:t>
      </w:r>
    </w:p>
    <w:p>
      <w:pPr>
        <w:pStyle w:val="ListBullet"/>
        <w:spacing w:after="20"/>
      </w:pPr>
      <w:r>
        <w:t>Integration dependency</w:t>
      </w:r>
    </w:p>
    <w:p>
      <w:pPr>
        <w:pStyle w:val="ListBullet"/>
        <w:spacing w:after="20"/>
      </w:pPr>
      <w:r>
        <w:t>Process workaround</w:t>
      </w:r>
    </w:p>
    <w:p>
      <w:pPr>
        <w:pStyle w:val="ListBullet"/>
        <w:spacing w:after="20"/>
      </w:pPr>
      <w:r>
        <w:t>Unavailable</w:t>
      </w:r>
    </w:p>
    <w:p>
      <w:pPr>
        <w:pStyle w:val="ListBullet"/>
        <w:spacing w:after="20"/>
      </w:pPr>
      <w:r>
        <w:t>Implementation complexity</w:t>
      </w:r>
    </w:p>
    <w:p>
      <w:pPr>
        <w:pStyle w:val="ListBullet"/>
        <w:spacing w:after="20"/>
      </w:pPr>
      <w:r>
        <w:t>Recurring cost</w:t>
      </w:r>
    </w:p>
    <w:p>
      <w:pPr>
        <w:pStyle w:val="ListBullet"/>
        <w:spacing w:after="20"/>
      </w:pPr>
      <w:r>
        <w:t>Migration impact</w:t>
      </w:r>
    </w:p>
    <w:p>
      <w:pPr>
        <w:pStyle w:val="ListBullet"/>
        <w:spacing w:after="20"/>
      </w:pPr>
      <w:r>
        <w:t>Operating owner</w:t>
      </w:r>
    </w:p>
    <w:p>
      <w:pPr>
        <w:pStyle w:val="Heading2"/>
      </w:pPr>
      <w:r>
        <w:t>9.4 Capability priority and placement</w:t>
      </w:r>
    </w:p>
    <w:tbl>
      <w:tblPr>
        <w:tblStyle w:val="TableGrid"/>
        <w:tblW w:type="auto" w:w="0"/>
        <w:jc w:val="center"/>
        <w:tblLook w:firstColumn="1" w:firstRow="1" w:lastColumn="0" w:lastRow="0" w:noHBand="0" w:noVBand="1" w:val="04A0"/>
      </w:tblPr>
      <w:tblGrid>
        <w:gridCol w:w="5112"/>
        <w:gridCol w:w="5112"/>
      </w:tblGrid>
      <w:tr>
        <w:trPr>
          <w:cantSplit/>
        </w:trPr>
        <w:tc>
          <w:tcPr>
            <w:tcW w:type="dxa" w:w="1152"/>
            <w:vAlign w:val="center"/>
            <w:shd w:fill="123A5A"/>
          </w:tcPr>
          <w:p>
            <w:r/>
            <w:r>
              <w:rPr>
                <w:rFonts w:ascii="Aptos" w:hAnsi="Aptos"/>
                <w:b/>
                <w:color w:val="FFFFFF"/>
                <w:sz w:val="16"/>
              </w:rPr>
              <w:t>Code</w:t>
            </w:r>
          </w:p>
        </w:tc>
        <w:tc>
          <w:tcPr>
            <w:tcW w:type="dxa" w:w="8352"/>
            <w:vAlign w:val="center"/>
            <w:shd w:fill="123A5A"/>
          </w:tcPr>
          <w:p>
            <w:r/>
            <w:r>
              <w:rPr>
                <w:rFonts w:ascii="Aptos" w:hAnsi="Aptos"/>
                <w:b/>
                <w:color w:val="FFFFFF"/>
                <w:sz w:val="16"/>
              </w:rPr>
              <w:t>Priority</w:t>
            </w:r>
          </w:p>
        </w:tc>
      </w:tr>
      <w:tr>
        <w:trPr>
          <w:cantSplit/>
        </w:trPr>
        <w:tc>
          <w:tcPr>
            <w:tcW w:type="dxa" w:w="1152"/>
            <w:vAlign w:val="center"/>
          </w:tcPr>
          <w:p>
            <w:r/>
            <w:r>
              <w:rPr>
                <w:rFonts w:ascii="Aptos" w:hAnsi="Aptos"/>
                <w:b w:val="0"/>
                <w:sz w:val="16"/>
              </w:rPr>
              <w:t>M</w:t>
            </w:r>
          </w:p>
        </w:tc>
        <w:tc>
          <w:tcPr>
            <w:tcW w:type="dxa" w:w="8352"/>
            <w:vAlign w:val="center"/>
          </w:tcPr>
          <w:p>
            <w:r/>
            <w:r>
              <w:rPr>
                <w:rFonts w:ascii="Aptos" w:hAnsi="Aptos"/>
                <w:b w:val="0"/>
                <w:sz w:val="16"/>
              </w:rPr>
              <w:t>Mandatory</w:t>
            </w:r>
          </w:p>
        </w:tc>
      </w:tr>
      <w:tr>
        <w:trPr>
          <w:cantSplit/>
        </w:trPr>
        <w:tc>
          <w:tcPr>
            <w:tcW w:type="dxa" w:w="1152"/>
            <w:vAlign w:val="center"/>
          </w:tcPr>
          <w:p>
            <w:r/>
            <w:r>
              <w:rPr>
                <w:rFonts w:ascii="Aptos" w:hAnsi="Aptos"/>
                <w:b w:val="0"/>
                <w:sz w:val="16"/>
              </w:rPr>
              <w:t>I</w:t>
            </w:r>
          </w:p>
        </w:tc>
        <w:tc>
          <w:tcPr>
            <w:tcW w:type="dxa" w:w="8352"/>
            <w:vAlign w:val="center"/>
          </w:tcPr>
          <w:p>
            <w:r/>
            <w:r>
              <w:rPr>
                <w:rFonts w:ascii="Aptos" w:hAnsi="Aptos"/>
                <w:b w:val="0"/>
                <w:sz w:val="16"/>
              </w:rPr>
              <w:t>Important</w:t>
            </w:r>
          </w:p>
        </w:tc>
      </w:tr>
      <w:tr>
        <w:trPr>
          <w:cantSplit/>
        </w:trPr>
        <w:tc>
          <w:tcPr>
            <w:tcW w:type="dxa" w:w="1152"/>
            <w:vAlign w:val="center"/>
          </w:tcPr>
          <w:p>
            <w:r/>
            <w:r>
              <w:rPr>
                <w:rFonts w:ascii="Aptos" w:hAnsi="Aptos"/>
                <w:b w:val="0"/>
                <w:sz w:val="16"/>
              </w:rPr>
              <w:t>D</w:t>
            </w:r>
          </w:p>
        </w:tc>
        <w:tc>
          <w:tcPr>
            <w:tcW w:type="dxa" w:w="8352"/>
            <w:vAlign w:val="center"/>
          </w:tcPr>
          <w:p>
            <w:r/>
            <w:r>
              <w:rPr>
                <w:rFonts w:ascii="Aptos" w:hAnsi="Aptos"/>
                <w:b w:val="0"/>
                <w:sz w:val="16"/>
              </w:rPr>
              <w:t>Differentiating</w:t>
            </w:r>
          </w:p>
        </w:tc>
      </w:tr>
      <w:tr>
        <w:trPr>
          <w:cantSplit/>
        </w:trPr>
        <w:tc>
          <w:tcPr>
            <w:tcW w:type="dxa" w:w="1152"/>
            <w:vAlign w:val="center"/>
          </w:tcPr>
          <w:p>
            <w:r/>
            <w:r>
              <w:rPr>
                <w:rFonts w:ascii="Aptos" w:hAnsi="Aptos"/>
                <w:b w:val="0"/>
                <w:sz w:val="16"/>
              </w:rPr>
              <w:t>F</w:t>
            </w:r>
          </w:p>
        </w:tc>
        <w:tc>
          <w:tcPr>
            <w:tcW w:type="dxa" w:w="8352"/>
            <w:vAlign w:val="center"/>
          </w:tcPr>
          <w:p>
            <w:r/>
            <w:r>
              <w:rPr>
                <w:rFonts w:ascii="Aptos" w:hAnsi="Aptos"/>
                <w:b w:val="0"/>
                <w:sz w:val="16"/>
              </w:rPr>
              <w:t>Future</w:t>
            </w:r>
          </w:p>
        </w:tc>
      </w:tr>
      <w:tr>
        <w:trPr>
          <w:cantSplit/>
        </w:trPr>
        <w:tc>
          <w:tcPr>
            <w:tcW w:type="dxa" w:w="1152"/>
            <w:vAlign w:val="center"/>
          </w:tcPr>
          <w:p>
            <w:r/>
            <w:r>
              <w:rPr>
                <w:rFonts w:ascii="Aptos" w:hAnsi="Aptos"/>
                <w:b w:val="0"/>
                <w:sz w:val="16"/>
              </w:rPr>
              <w:t>N/A</w:t>
            </w:r>
          </w:p>
        </w:tc>
        <w:tc>
          <w:tcPr>
            <w:tcW w:type="dxa" w:w="8352"/>
            <w:vAlign w:val="center"/>
          </w:tcPr>
          <w:p>
            <w:r/>
            <w:r>
              <w:rPr>
                <w:rFonts w:ascii="Aptos" w:hAnsi="Aptos"/>
                <w:b w:val="0"/>
                <w:sz w:val="16"/>
              </w:rPr>
              <w:t>Not applicable</w:t>
            </w:r>
          </w:p>
        </w:tc>
      </w:tr>
      <w:tr>
        <w:trPr>
          <w:cantSplit/>
        </w:trPr>
        <w:tc>
          <w:tcPr>
            <w:tcW w:type="dxa" w:w="1152"/>
            <w:vAlign w:val="center"/>
          </w:tcPr>
          <w:p>
            <w:r/>
            <w:r>
              <w:rPr>
                <w:rFonts w:ascii="Aptos" w:hAnsi="Aptos"/>
                <w:b w:val="0"/>
                <w:sz w:val="16"/>
              </w:rPr>
              <w:t>G</w:t>
            </w:r>
          </w:p>
        </w:tc>
        <w:tc>
          <w:tcPr>
            <w:tcW w:type="dxa" w:w="8352"/>
            <w:vAlign w:val="center"/>
          </w:tcPr>
          <w:p>
            <w:r/>
            <w:r>
              <w:rPr>
                <w:rFonts w:ascii="Aptos" w:hAnsi="Aptos"/>
                <w:b w:val="0"/>
                <w:sz w:val="16"/>
              </w:rPr>
              <w:t>Gate / potential disqualifier</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cantSplit/>
        </w:trPr>
        <w:tc>
          <w:tcPr>
            <w:tcW w:type="dxa" w:w="1440"/>
            <w:vAlign w:val="center"/>
            <w:shd w:fill="123A5A"/>
          </w:tcPr>
          <w:p>
            <w:r/>
            <w:r>
              <w:rPr>
                <w:rFonts w:ascii="Aptos" w:hAnsi="Aptos"/>
                <w:b/>
                <w:color w:val="FFFFFF"/>
                <w:sz w:val="16"/>
              </w:rPr>
              <w:t>Code</w:t>
            </w:r>
          </w:p>
        </w:tc>
        <w:tc>
          <w:tcPr>
            <w:tcW w:type="dxa" w:w="8064"/>
            <w:vAlign w:val="center"/>
            <w:shd w:fill="123A5A"/>
          </w:tcPr>
          <w:p>
            <w:r/>
            <w:r>
              <w:rPr>
                <w:rFonts w:ascii="Aptos" w:hAnsi="Aptos"/>
                <w:b/>
                <w:color w:val="FFFFFF"/>
                <w:sz w:val="16"/>
              </w:rPr>
              <w:t>Architectural placement</w:t>
            </w:r>
          </w:p>
        </w:tc>
      </w:tr>
      <w:tr>
        <w:trPr>
          <w:cantSplit/>
        </w:trPr>
        <w:tc>
          <w:tcPr>
            <w:tcW w:type="dxa" w:w="1440"/>
            <w:vAlign w:val="center"/>
          </w:tcPr>
          <w:p>
            <w:r/>
            <w:r>
              <w:rPr>
                <w:rFonts w:ascii="Aptos" w:hAnsi="Aptos"/>
                <w:b w:val="0"/>
                <w:sz w:val="16"/>
              </w:rPr>
              <w:t>TMS</w:t>
            </w:r>
          </w:p>
        </w:tc>
        <w:tc>
          <w:tcPr>
            <w:tcW w:type="dxa" w:w="8064"/>
            <w:vAlign w:val="center"/>
          </w:tcPr>
          <w:p>
            <w:r/>
            <w:r>
              <w:rPr>
                <w:rFonts w:ascii="Aptos" w:hAnsi="Aptos"/>
                <w:b w:val="0"/>
                <w:sz w:val="16"/>
              </w:rPr>
              <w:t>Native TMS</w:t>
            </w:r>
          </w:p>
        </w:tc>
      </w:tr>
      <w:tr>
        <w:trPr>
          <w:cantSplit/>
        </w:trPr>
        <w:tc>
          <w:tcPr>
            <w:tcW w:type="dxa" w:w="1440"/>
            <w:vAlign w:val="center"/>
          </w:tcPr>
          <w:p>
            <w:r/>
            <w:r>
              <w:rPr>
                <w:rFonts w:ascii="Aptos" w:hAnsi="Aptos"/>
                <w:b w:val="0"/>
                <w:sz w:val="16"/>
              </w:rPr>
              <w:t>ERP/OMS</w:t>
            </w:r>
          </w:p>
        </w:tc>
        <w:tc>
          <w:tcPr>
            <w:tcW w:type="dxa" w:w="8064"/>
            <w:vAlign w:val="center"/>
          </w:tcPr>
          <w:p>
            <w:r/>
            <w:r>
              <w:rPr>
                <w:rFonts w:ascii="Aptos" w:hAnsi="Aptos"/>
                <w:b w:val="0"/>
                <w:sz w:val="16"/>
              </w:rPr>
              <w:t>LumberTrack, ERP or order management</w:t>
            </w:r>
          </w:p>
        </w:tc>
      </w:tr>
      <w:tr>
        <w:trPr>
          <w:cantSplit/>
        </w:trPr>
        <w:tc>
          <w:tcPr>
            <w:tcW w:type="dxa" w:w="1440"/>
            <w:vAlign w:val="center"/>
          </w:tcPr>
          <w:p>
            <w:r/>
            <w:r>
              <w:rPr>
                <w:rFonts w:ascii="Aptos" w:hAnsi="Aptos"/>
                <w:b w:val="0"/>
                <w:sz w:val="16"/>
              </w:rPr>
              <w:t>VIS</w:t>
            </w:r>
          </w:p>
        </w:tc>
        <w:tc>
          <w:tcPr>
            <w:tcW w:type="dxa" w:w="8064"/>
            <w:vAlign w:val="center"/>
          </w:tcPr>
          <w:p>
            <w:r/>
            <w:r>
              <w:rPr>
                <w:rFonts w:ascii="Aptos" w:hAnsi="Aptos"/>
                <w:b w:val="0"/>
                <w:sz w:val="16"/>
              </w:rPr>
              <w:t>Visibility or control tower</w:t>
            </w:r>
          </w:p>
        </w:tc>
      </w:tr>
      <w:tr>
        <w:trPr>
          <w:cantSplit/>
        </w:trPr>
        <w:tc>
          <w:tcPr>
            <w:tcW w:type="dxa" w:w="1440"/>
            <w:vAlign w:val="center"/>
          </w:tcPr>
          <w:p>
            <w:r/>
            <w:r>
              <w:rPr>
                <w:rFonts w:ascii="Aptos" w:hAnsi="Aptos"/>
                <w:b w:val="0"/>
                <w:sz w:val="16"/>
              </w:rPr>
              <w:t>FAP</w:t>
            </w:r>
          </w:p>
        </w:tc>
        <w:tc>
          <w:tcPr>
            <w:tcW w:type="dxa" w:w="8064"/>
            <w:vAlign w:val="center"/>
          </w:tcPr>
          <w:p>
            <w:r/>
            <w:r>
              <w:rPr>
                <w:rFonts w:ascii="Aptos" w:hAnsi="Aptos"/>
                <w:b w:val="0"/>
                <w:sz w:val="16"/>
              </w:rPr>
              <w:t>Freight audit and payment</w:t>
            </w:r>
          </w:p>
        </w:tc>
      </w:tr>
      <w:tr>
        <w:trPr>
          <w:cantSplit/>
        </w:trPr>
        <w:tc>
          <w:tcPr>
            <w:tcW w:type="dxa" w:w="1440"/>
            <w:vAlign w:val="center"/>
          </w:tcPr>
          <w:p>
            <w:r/>
            <w:r>
              <w:rPr>
                <w:rFonts w:ascii="Aptos" w:hAnsi="Aptos"/>
                <w:b w:val="0"/>
                <w:sz w:val="16"/>
              </w:rPr>
              <w:t>INT</w:t>
            </w:r>
          </w:p>
        </w:tc>
        <w:tc>
          <w:tcPr>
            <w:tcW w:type="dxa" w:w="8064"/>
            <w:vAlign w:val="center"/>
          </w:tcPr>
          <w:p>
            <w:r/>
            <w:r>
              <w:rPr>
                <w:rFonts w:ascii="Aptos" w:hAnsi="Aptos"/>
                <w:b w:val="0"/>
                <w:sz w:val="16"/>
              </w:rPr>
              <w:t>Integration platform or custom service</w:t>
            </w:r>
          </w:p>
        </w:tc>
      </w:tr>
      <w:tr>
        <w:trPr>
          <w:cantSplit/>
        </w:trPr>
        <w:tc>
          <w:tcPr>
            <w:tcW w:type="dxa" w:w="1440"/>
            <w:vAlign w:val="center"/>
          </w:tcPr>
          <w:p>
            <w:r/>
            <w:r>
              <w:rPr>
                <w:rFonts w:ascii="Aptos" w:hAnsi="Aptos"/>
                <w:b w:val="0"/>
                <w:sz w:val="16"/>
              </w:rPr>
              <w:t>EXT</w:t>
            </w:r>
          </w:p>
        </w:tc>
        <w:tc>
          <w:tcPr>
            <w:tcW w:type="dxa" w:w="8064"/>
            <w:vAlign w:val="center"/>
          </w:tcPr>
          <w:p>
            <w:r/>
            <w:r>
              <w:rPr>
                <w:rFonts w:ascii="Aptos" w:hAnsi="Aptos"/>
                <w:b w:val="0"/>
                <w:sz w:val="16"/>
              </w:rPr>
              <w:t>Carrier, railroad, broker or data provider</w:t>
            </w:r>
          </w:p>
        </w:tc>
      </w:tr>
      <w:tr>
        <w:trPr>
          <w:cantSplit/>
        </w:trPr>
        <w:tc>
          <w:tcPr>
            <w:tcW w:type="dxa" w:w="1440"/>
            <w:vAlign w:val="center"/>
          </w:tcPr>
          <w:p>
            <w:r/>
            <w:r>
              <w:rPr>
                <w:rFonts w:ascii="Aptos" w:hAnsi="Aptos"/>
                <w:b w:val="0"/>
                <w:sz w:val="16"/>
              </w:rPr>
              <w:t>SHARED</w:t>
            </w:r>
          </w:p>
        </w:tc>
        <w:tc>
          <w:tcPr>
            <w:tcW w:type="dxa" w:w="8064"/>
            <w:vAlign w:val="center"/>
          </w:tcPr>
          <w:p>
            <w:r/>
            <w:r>
              <w:rPr>
                <w:rFonts w:ascii="Aptos" w:hAnsi="Aptos"/>
                <w:b w:val="0"/>
                <w:sz w:val="16"/>
              </w:rPr>
              <w:t>Distributed across platforms</w:t>
            </w:r>
          </w:p>
        </w:tc>
      </w:tr>
    </w:tbl>
    <w:p>
      <w:pPr>
        <w:spacing w:after="20"/>
      </w:pPr>
    </w:p>
    <w:p>
      <w:r>
        <w:br w:type="page"/>
      </w:r>
    </w:p>
    <w:p>
      <w:pPr>
        <w:pStyle w:val="Heading1"/>
      </w:pPr>
      <w:r>
        <w:t>10. Initial Evidence Register and Open Questions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168"/>
            <w:vAlign w:val="center"/>
            <w:shd w:fill="123A5A"/>
          </w:tcPr>
          <w:p>
            <w:r/>
            <w:r>
              <w:rPr>
                <w:rFonts w:ascii="Aptos" w:hAnsi="Aptos"/>
                <w:b/>
                <w:color w:val="FFFFFF"/>
                <w:sz w:val="16"/>
              </w:rPr>
              <w:t>Source</w:t>
            </w:r>
          </w:p>
        </w:tc>
        <w:tc>
          <w:tcPr>
            <w:tcW w:type="dxa" w:w="4608"/>
            <w:vAlign w:val="center"/>
            <w:shd w:fill="123A5A"/>
          </w:tcPr>
          <w:p>
            <w:r/>
            <w:r>
              <w:rPr>
                <w:rFonts w:ascii="Aptos" w:hAnsi="Aptos"/>
                <w:b/>
                <w:color w:val="FFFFFF"/>
                <w:sz w:val="16"/>
              </w:rPr>
              <w:t>What it grounds</w:t>
            </w:r>
          </w:p>
        </w:tc>
        <w:tc>
          <w:tcPr>
            <w:tcW w:type="dxa" w:w="3456"/>
            <w:vAlign w:val="center"/>
            <w:shd w:fill="123A5A"/>
          </w:tcPr>
          <w:p>
            <w:r/>
            <w:r>
              <w:rPr>
                <w:rFonts w:ascii="Aptos" w:hAnsi="Aptos"/>
                <w:b/>
                <w:color w:val="FFFFFF"/>
                <w:sz w:val="16"/>
              </w:rPr>
              <w:t>Assessment use</w:t>
            </w:r>
          </w:p>
        </w:tc>
      </w:tr>
      <w:tr>
        <w:trPr>
          <w:cantSplit/>
        </w:trPr>
        <w:tc>
          <w:tcPr>
            <w:tcW w:type="dxa" w:w="3168"/>
            <w:vAlign w:val="center"/>
          </w:tcPr>
          <w:p>
            <w:r/>
            <w:r>
              <w:rPr>
                <w:rFonts w:ascii="Aptos" w:hAnsi="Aptos"/>
                <w:b w:val="0"/>
                <w:sz w:val="14"/>
              </w:rPr>
              <w:t>LumberTrack KT Volume 2, v2.0</w:t>
            </w:r>
          </w:p>
        </w:tc>
        <w:tc>
          <w:tcPr>
            <w:tcW w:type="dxa" w:w="4608"/>
            <w:vAlign w:val="center"/>
          </w:tcPr>
          <w:p>
            <w:r/>
            <w:r>
              <w:rPr>
                <w:rFonts w:ascii="Aptos" w:hAnsi="Aptos"/>
                <w:b w:val="0"/>
                <w:sz w:val="14"/>
              </w:rPr>
              <w:t>CarrierPoint planning boundary; shipment attributes; OMSI/SSIS where configured; Rail BOL and EDI 404 flow.</w:t>
            </w:r>
          </w:p>
        </w:tc>
        <w:tc>
          <w:tcPr>
            <w:tcW w:type="dxa" w:w="3456"/>
            <w:vAlign w:val="center"/>
          </w:tcPr>
          <w:p>
            <w:r/>
            <w:r>
              <w:rPr>
                <w:rFonts w:ascii="Aptos" w:hAnsi="Aptos"/>
                <w:b w:val="0"/>
                <w:sz w:val="14"/>
              </w:rPr>
              <w:t>Current-state process and system boundaries.</w:t>
            </w:r>
          </w:p>
        </w:tc>
      </w:tr>
      <w:tr>
        <w:trPr>
          <w:cantSplit/>
        </w:trPr>
        <w:tc>
          <w:tcPr>
            <w:tcW w:type="dxa" w:w="3168"/>
            <w:vAlign w:val="center"/>
          </w:tcPr>
          <w:p>
            <w:r/>
            <w:r>
              <w:rPr>
                <w:rFonts w:ascii="Aptos" w:hAnsi="Aptos"/>
                <w:b w:val="0"/>
                <w:sz w:val="14"/>
              </w:rPr>
              <w:t>ATS-to-Order Process Details</w:t>
            </w:r>
          </w:p>
        </w:tc>
        <w:tc>
          <w:tcPr>
            <w:tcW w:type="dxa" w:w="4608"/>
            <w:vAlign w:val="center"/>
          </w:tcPr>
          <w:p>
            <w:r/>
            <w:r>
              <w:rPr>
                <w:rFonts w:ascii="Aptos" w:hAnsi="Aptos"/>
                <w:b w:val="0"/>
                <w:sz w:val="14"/>
              </w:rPr>
              <w:t>Transportation planning, shipment creation, Rail BOL execution, exception and validation points.</w:t>
            </w:r>
          </w:p>
        </w:tc>
        <w:tc>
          <w:tcPr>
            <w:tcW w:type="dxa" w:w="3456"/>
            <w:vAlign w:val="center"/>
          </w:tcPr>
          <w:p>
            <w:r/>
            <w:r>
              <w:rPr>
                <w:rFonts w:ascii="Aptos" w:hAnsi="Aptos"/>
                <w:b w:val="0"/>
                <w:sz w:val="14"/>
              </w:rPr>
              <w:t>Scenario design and open-question log.</w:t>
            </w:r>
          </w:p>
        </w:tc>
      </w:tr>
      <w:tr>
        <w:trPr>
          <w:cantSplit/>
        </w:trPr>
        <w:tc>
          <w:tcPr>
            <w:tcW w:type="dxa" w:w="3168"/>
            <w:vAlign w:val="center"/>
          </w:tcPr>
          <w:p>
            <w:r/>
            <w:r>
              <w:rPr>
                <w:rFonts w:ascii="Aptos" w:hAnsi="Aptos"/>
                <w:b w:val="0"/>
                <w:sz w:val="14"/>
              </w:rPr>
              <w:t>EDI Interfaces LumberTrack</w:t>
            </w:r>
          </w:p>
        </w:tc>
        <w:tc>
          <w:tcPr>
            <w:tcW w:type="dxa" w:w="4608"/>
            <w:vAlign w:val="center"/>
          </w:tcPr>
          <w:p>
            <w:r/>
            <w:r>
              <w:rPr>
                <w:rFonts w:ascii="Aptos" w:hAnsi="Aptos"/>
                <w:b w:val="0"/>
                <w:sz w:val="14"/>
              </w:rPr>
              <w:t>EDI 404, acknowledgements, waybill writeback, AUTO-FAVI, SSIS and mapping dependencies.</w:t>
            </w:r>
          </w:p>
        </w:tc>
        <w:tc>
          <w:tcPr>
            <w:tcW w:type="dxa" w:w="3456"/>
            <w:vAlign w:val="center"/>
          </w:tcPr>
          <w:p>
            <w:r/>
            <w:r>
              <w:rPr>
                <w:rFonts w:ascii="Aptos" w:hAnsi="Aptos"/>
                <w:b w:val="0"/>
                <w:sz w:val="14"/>
              </w:rPr>
              <w:t>Integration, operational and financial control assessment.</w:t>
            </w:r>
          </w:p>
        </w:tc>
      </w:tr>
      <w:tr>
        <w:trPr>
          <w:cantSplit/>
        </w:trPr>
        <w:tc>
          <w:tcPr>
            <w:tcW w:type="dxa" w:w="3168"/>
            <w:vAlign w:val="center"/>
          </w:tcPr>
          <w:p>
            <w:r/>
            <w:r>
              <w:rPr>
                <w:rFonts w:ascii="Aptos" w:hAnsi="Aptos"/>
                <w:b w:val="0"/>
                <w:sz w:val="14"/>
              </w:rPr>
              <w:t>LumberTrack AP Auto-Generated Invoices meeting</w:t>
            </w:r>
          </w:p>
        </w:tc>
        <w:tc>
          <w:tcPr>
            <w:tcW w:type="dxa" w:w="4608"/>
            <w:vAlign w:val="center"/>
          </w:tcPr>
          <w:p>
            <w:r/>
            <w:r>
              <w:rPr>
                <w:rFonts w:ascii="Aptos" w:hAnsi="Aptos"/>
                <w:b w:val="0"/>
                <w:sz w:val="14"/>
              </w:rPr>
              <w:t>Ready-to-Pay, POD, delivery-confirmation date, invoice/posting dates, legal entity and audit concerns.</w:t>
            </w:r>
          </w:p>
        </w:tc>
        <w:tc>
          <w:tcPr>
            <w:tcW w:type="dxa" w:w="3456"/>
            <w:vAlign w:val="center"/>
          </w:tcPr>
          <w:p>
            <w:r/>
            <w:r>
              <w:rPr>
                <w:rFonts w:ascii="Aptos" w:hAnsi="Aptos"/>
                <w:b w:val="0"/>
                <w:sz w:val="14"/>
              </w:rPr>
              <w:t>Mandatory control scenarios and risk assessment.</w:t>
            </w:r>
          </w:p>
        </w:tc>
      </w:tr>
      <w:tr>
        <w:trPr>
          <w:cantSplit/>
        </w:trPr>
        <w:tc>
          <w:tcPr>
            <w:tcW w:type="dxa" w:w="3168"/>
            <w:vAlign w:val="center"/>
          </w:tcPr>
          <w:p>
            <w:r/>
            <w:r>
              <w:rPr>
                <w:rFonts w:ascii="Aptos" w:hAnsi="Aptos"/>
                <w:b w:val="0"/>
                <w:sz w:val="14"/>
              </w:rPr>
              <w:t>CarrierPoint user/access and environment materials</w:t>
            </w:r>
          </w:p>
        </w:tc>
        <w:tc>
          <w:tcPr>
            <w:tcW w:type="dxa" w:w="4608"/>
            <w:vAlign w:val="center"/>
          </w:tcPr>
          <w:p>
            <w:r/>
            <w:r>
              <w:rPr>
                <w:rFonts w:ascii="Aptos" w:hAnsi="Aptos"/>
                <w:b w:val="0"/>
                <w:sz w:val="14"/>
              </w:rPr>
              <w:t>SSO/location access and environment refresh considerations.</w:t>
            </w:r>
          </w:p>
        </w:tc>
        <w:tc>
          <w:tcPr>
            <w:tcW w:type="dxa" w:w="3456"/>
            <w:vAlign w:val="center"/>
          </w:tcPr>
          <w:p>
            <w:r/>
            <w:r>
              <w:rPr>
                <w:rFonts w:ascii="Aptos" w:hAnsi="Aptos"/>
                <w:b w:val="0"/>
                <w:sz w:val="14"/>
              </w:rPr>
              <w:t>Security and platform operations assessment.</w:t>
            </w:r>
          </w:p>
        </w:tc>
      </w:tr>
    </w:tbl>
    <w:p>
      <w:pPr>
        <w:spacing w:after="20"/>
      </w:pPr>
    </w:p>
    <w:p>
      <w:pPr>
        <w:pStyle w:val="Heading2"/>
      </w:pPr>
      <w:r>
        <w:t>10.1 Priority open questions</w:t>
      </w:r>
    </w:p>
    <w:p>
      <w:pPr>
        <w:pStyle w:val="ListNumber"/>
        <w:spacing w:after="20"/>
      </w:pPr>
      <w:r>
        <w:t>What event publishes truck demand to CarrierPoint, and is the production integration order-based, shipment-based or both?</w:t>
      </w:r>
    </w:p>
    <w:p>
      <w:pPr>
        <w:pStyle w:val="ListNumber"/>
        <w:spacing w:after="20"/>
      </w:pPr>
      <w:r>
        <w:t>Which system is authoritative by field for carrier, route, equipment, rate, freight, pickup date, delivery date and Ready-to-Pay?</w:t>
      </w:r>
    </w:p>
    <w:p>
      <w:pPr>
        <w:pStyle w:val="ListNumber"/>
        <w:spacing w:after="20"/>
      </w:pPr>
      <w:r>
        <w:t>What are the deployed OMSI, SSIS, Informatica and API boundaries by message type?</w:t>
      </w:r>
    </w:p>
    <w:p>
      <w:pPr>
        <w:pStyle w:val="ListNumber"/>
        <w:spacing w:after="20"/>
      </w:pPr>
      <w:r>
        <w:t>What keys correlate LumberTrack demand, TMS shipment, BOL, EDI message, acknowledgement, POD, invoice and payment?</w:t>
      </w:r>
    </w:p>
    <w:p>
      <w:pPr>
        <w:pStyle w:val="ListNumber"/>
        <w:spacing w:after="20"/>
      </w:pPr>
      <w:r>
        <w:t>What are the approved replay, duplicate-prevention and reconciliation procedures for each interface?</w:t>
      </w:r>
    </w:p>
    <w:p>
      <w:pPr>
        <w:pStyle w:val="ListNumber"/>
        <w:spacing w:after="20"/>
      </w:pPr>
      <w:r>
        <w:t>Which Truck capabilities are centralized and which vary among West, South, East and Atlantic operations?</w:t>
      </w:r>
    </w:p>
    <w:p>
      <w:pPr>
        <w:pStyle w:val="ListNumber"/>
        <w:spacing w:after="20"/>
      </w:pPr>
      <w:r>
        <w:t>What is Interfor Rail scope beyond EDI 404, including car fleet, tracing, interchange, yard, demurrage and invoice audit?</w:t>
      </w:r>
    </w:p>
    <w:p>
      <w:pPr>
        <w:pStyle w:val="ListNumber"/>
        <w:spacing w:after="20"/>
      </w:pPr>
      <w:r>
        <w:t>What are annual shipment, carrier, freight-spend, invoice and peak-volume ranges by Truck and Rail?</w:t>
      </w:r>
    </w:p>
    <w:p>
      <w:pPr>
        <w:pStyle w:val="ListNumber"/>
        <w:spacing w:after="20"/>
      </w:pPr>
      <w:r>
        <w:t>What contractual timing, renewal, budget, data-residency and cloud constraints apply?</w:t>
      </w:r>
    </w:p>
    <w:p>
      <w:pPr>
        <w:pStyle w:val="ListNumber"/>
        <w:spacing w:after="20"/>
      </w:pPr>
      <w:r>
        <w:t>Who owns the final decision, capability scoring, architecture, procurement, Finance/Tax controls and regional SME sign-off?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Interfor Confidential | Initial working document | October 22,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Interfor TMS 360-Degree Assessment | Initial Baseline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A5A"/>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B579A"/>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B7A75"/>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ptos Display" w:hAnsi="Aptos Display"/>
      <w:b/>
      <w:bCs/>
      <w:i/>
      <w:iCs/>
      <w:color w:val="1F293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A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i/>
      <w:iCs/>
      <w:color w:val="0B7A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360" w:right="360"/>
    </w:pPr>
    <w:rPr>
      <w:rFonts w:ascii="Aptos" w:hAnsi="Apto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Interfor TMS 360-Degree Assessment Runbook</dc:title>
  <dc:subject>Truck and Rail capability assessment</dc:subject>
  <dc:creator>Dong Shen</dc:creator>
  <keywords>Interfor, TMS, CarrierPoint, Truck, Rail, Capability Model, Heat Map</keywords>
  <dc:description>generated by python-docx</dc:description>
  <lastModifiedBy>Dong Shen</lastModifiedBy>
  <revision>1</revision>
  <dcterms:created xsi:type="dcterms:W3CDTF">2026-10-22T23:09:49.2709935Z</dcterms:created>
  <dcterms:modified xsi:type="dcterms:W3CDTF">2026-10-22T23:09:49.2709935Z</dcterms:modified>
  <category/>
</coreProperties>
</file>