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56"/>
        </w:rPr>
        <w:t>机器学习实验报告</w:t>
      </w:r>
    </w:p>
    <w:p>
      <w:pPr>
        <w:jc w:val="center"/>
      </w:pPr>
      <w:r>
        <w:rPr>
          <w:rFonts w:ascii="黑体" w:hAnsi="黑体" w:eastAsia="黑体"/>
          <w:sz w:val="36"/>
        </w:rPr>
        <w:t>实验一：基于1D CNN的心跳信号分类</w:t>
      </w:r>
    </w:p>
    <w:p/>
    <w:p/>
    <w:p>
      <w:pPr>
        <w:jc w:val="center"/>
      </w:pPr>
      <w:r>
        <w:rPr>
          <w:rFonts w:ascii="宋体" w:hAnsi="宋体" w:eastAsia="宋体"/>
          <w:sz w:val="28"/>
        </w:rPr>
        <w:t>姓    名：_______________</w:t>
      </w:r>
    </w:p>
    <w:p>
      <w:pPr>
        <w:jc w:val="center"/>
      </w:pPr>
      <w:r>
        <w:rPr>
          <w:rFonts w:ascii="宋体" w:hAnsi="宋体" w:eastAsia="宋体"/>
          <w:sz w:val="28"/>
        </w:rPr>
        <w:t>学    号：_______________</w:t>
      </w:r>
    </w:p>
    <w:p>
      <w:pPr>
        <w:jc w:val="center"/>
      </w:pPr>
      <w:r>
        <w:rPr>
          <w:rFonts w:ascii="宋体" w:hAnsi="宋体" w:eastAsia="宋体"/>
          <w:sz w:val="28"/>
        </w:rPr>
        <w:t>专    业：_______________</w:t>
      </w:r>
    </w:p>
    <w:p>
      <w:pPr>
        <w:jc w:val="center"/>
      </w:pPr>
      <w:r>
        <w:rPr>
          <w:rFonts w:ascii="宋体" w:hAnsi="宋体" w:eastAsia="宋体"/>
          <w:sz w:val="28"/>
        </w:rPr>
        <w:t>日    期：2026年6月2日</w:t>
      </w:r>
    </w:p>
    <w:p>
      <w:r>
        <w:br w:type="page"/>
      </w:r>
    </w:p>
    <w:p>
      <w:pPr>
        <w:pStyle w:val="Heading1"/>
      </w:pPr>
      <w:r>
        <w:t>一、实验目的</w:t>
      </w:r>
    </w:p>
    <w:p>
      <w:pPr>
        <w:spacing w:line="440" w:lineRule="exact"/>
        <w:ind w:firstLine="420"/>
      </w:pPr>
      <w:r>
        <w:rPr>
          <w:rFonts w:ascii="宋体" w:hAnsi="宋体" w:eastAsia="宋体"/>
          <w:sz w:val="24"/>
        </w:rPr>
        <w:t>本次实验旨在通过深度学习中的一维卷积神经网络（1D Convolutional Neural Network, 1D CNN）对心电图（ECG）心跳信号进行分类，实现心电信号异常的自动识别。具体目标包括：</w:t>
      </w:r>
    </w:p>
    <w:p>
      <w:pPr>
        <w:pStyle w:val="ListBullet"/>
        <w:spacing w:line="440" w:lineRule="exact"/>
      </w:pPr>
      <w:r>
        <w:rPr>
          <w:rFonts w:ascii="宋体" w:hAnsi="宋体" w:eastAsia="宋体"/>
          <w:sz w:val="24"/>
        </w:rPr>
        <w:t>理解心电信号数据的特征表示与数据预处理方法；</w:t>
      </w:r>
    </w:p>
    <w:p>
      <w:pPr>
        <w:pStyle w:val="ListBullet"/>
        <w:spacing w:line="440" w:lineRule="exact"/>
      </w:pPr>
      <w:r>
        <w:rPr>
          <w:rFonts w:ascii="宋体" w:hAnsi="宋体" w:eastAsia="宋体"/>
          <w:sz w:val="24"/>
        </w:rPr>
        <w:t>掌握一维卷积神经网络（1D CNN）的基本原理与网络构建方法；</w:t>
      </w:r>
    </w:p>
    <w:p>
      <w:pPr>
        <w:pStyle w:val="ListBullet"/>
        <w:spacing w:line="440" w:lineRule="exact"/>
      </w:pPr>
      <w:r>
        <w:rPr>
          <w:rFonts w:ascii="宋体" w:hAnsi="宋体" w:eastAsia="宋体"/>
          <w:sz w:val="24"/>
        </w:rPr>
        <w:t>学习使用PyTorch深度学习框架搭建、训练和评估分类模型；</w:t>
      </w:r>
    </w:p>
    <w:p>
      <w:pPr>
        <w:pStyle w:val="ListBullet"/>
        <w:spacing w:line="440" w:lineRule="exact"/>
      </w:pPr>
      <w:r>
        <w:rPr>
          <w:rFonts w:ascii="宋体" w:hAnsi="宋体" w:eastAsia="宋体"/>
          <w:sz w:val="24"/>
        </w:rPr>
        <w:t>掌握模型性能评估指标体系，包括准确率（Accuracy）、精确率（Precision）、召回率（Recall）、F1分数和混淆矩阵（Confusion Matrix）；</w:t>
      </w:r>
    </w:p>
    <w:p>
      <w:pPr>
        <w:pStyle w:val="ListBullet"/>
        <w:spacing w:line="440" w:lineRule="exact"/>
      </w:pPr>
      <w:r>
        <w:rPr>
          <w:rFonts w:ascii="宋体" w:hAnsi="宋体" w:eastAsia="宋体"/>
          <w:sz w:val="24"/>
        </w:rPr>
        <w:t>通过实验验证1D CNN在心电信号自动分类任务中的有效性，并分析类别不平衡问题对模型性能的影响。</w:t>
      </w:r>
    </w:p>
    <w:p>
      <w:pPr>
        <w:pStyle w:val="Heading1"/>
      </w:pPr>
      <w:r>
        <w:t>二、实验环境</w:t>
      </w:r>
    </w:p>
    <w:p>
      <w:pPr>
        <w:spacing w:line="440" w:lineRule="exact"/>
        <w:ind w:firstLine="420"/>
      </w:pPr>
      <w:r>
        <w:rPr>
          <w:rFonts w:ascii="宋体" w:hAnsi="宋体" w:eastAsia="宋体"/>
          <w:sz w:val="24"/>
        </w:rPr>
        <w:t>本次实验在Windows 11 Pro操作系统上进行，使用Python 3.14作为编程语言，基于PyTorch深度学习框架构建模型。具体的软硬件配置与依赖库如下：</w:t>
      </w:r>
    </w:p>
    <w:p>
      <w:pPr>
        <w:pStyle w:val="Heading2"/>
      </w:pPr>
      <w:r>
        <w:t>2.1 硬件环境</w:t>
      </w:r>
    </w:p>
    <w:tbl>
      <w:tblPr>
        <w:tblStyle w:val="LightGrid-Accent1"/>
        <w:tblW w:type="auto" w:w="0"/>
        <w:tblLook w:firstColumn="1" w:firstRow="1" w:lastColumn="0" w:lastRow="0" w:noHBand="0" w:noVBand="1" w:val="04A0"/>
      </w:tblPr>
      <w:tblGrid>
        <w:gridCol w:w="4419"/>
        <w:gridCol w:w="4419"/>
      </w:tblGrid>
      <w:tr>
        <w:tc>
          <w:tcPr>
            <w:tcW w:type="dxa" w:w="4419"/>
          </w:tcPr>
          <w:p>
            <w:r>
              <w:rPr>
                <w:sz w:val="22"/>
              </w:rPr>
              <w:t>处理器</w:t>
            </w:r>
          </w:p>
        </w:tc>
        <w:tc>
          <w:tcPr>
            <w:tcW w:type="dxa" w:w="4419"/>
          </w:tcPr>
          <w:p>
            <w:r>
              <w:rPr>
                <w:sz w:val="22"/>
              </w:rPr>
              <w:t>Intel Core i7 / i9</w:t>
            </w:r>
          </w:p>
        </w:tc>
      </w:tr>
      <w:tr>
        <w:tc>
          <w:tcPr>
            <w:tcW w:type="dxa" w:w="4419"/>
          </w:tcPr>
          <w:p>
            <w:r>
              <w:rPr>
                <w:sz w:val="22"/>
              </w:rPr>
              <w:t>内存</w:t>
            </w:r>
          </w:p>
        </w:tc>
        <w:tc>
          <w:tcPr>
            <w:tcW w:type="dxa" w:w="4419"/>
          </w:tcPr>
          <w:p>
            <w:r>
              <w:rPr>
                <w:sz w:val="22"/>
              </w:rPr>
              <w:t>16GB+</w:t>
            </w:r>
          </w:p>
        </w:tc>
      </w:tr>
      <w:tr>
        <w:tc>
          <w:tcPr>
            <w:tcW w:type="dxa" w:w="4419"/>
          </w:tcPr>
          <w:p>
            <w:r>
              <w:rPr>
                <w:sz w:val="22"/>
              </w:rPr>
              <w:t>GPU</w:t>
            </w:r>
          </w:p>
        </w:tc>
        <w:tc>
          <w:tcPr>
            <w:tcW w:type="dxa" w:w="4419"/>
          </w:tcPr>
          <w:p>
            <w:r>
              <w:rPr>
                <w:sz w:val="22"/>
              </w:rPr>
              <w:t>NVIDIA GeForce RTX 系列（若无CUDA则使用CPU）</w:t>
            </w:r>
          </w:p>
        </w:tc>
      </w:tr>
      <w:tr>
        <w:tc>
          <w:tcPr>
            <w:tcW w:type="dxa" w:w="4419"/>
          </w:tcPr>
          <w:p>
            <w:r>
              <w:rPr>
                <w:sz w:val="22"/>
              </w:rPr>
              <w:t>存储</w:t>
            </w:r>
          </w:p>
        </w:tc>
        <w:tc>
          <w:tcPr>
            <w:tcW w:type="dxa" w:w="4419"/>
          </w:tcPr>
          <w:p>
            <w:r>
              <w:rPr>
                <w:sz w:val="22"/>
              </w:rPr>
              <w:t>SSD 512GB+</w:t>
            </w:r>
          </w:p>
        </w:tc>
      </w:tr>
    </w:tbl>
    <w:p/>
    <w:p>
      <w:pPr>
        <w:pStyle w:val="Heading2"/>
      </w:pPr>
      <w:r>
        <w:t>2.2 软件环境</w:t>
      </w:r>
    </w:p>
    <w:tbl>
      <w:tblPr>
        <w:tblStyle w:val="LightGrid-Accent1"/>
        <w:tblW w:type="auto" w:w="0"/>
        <w:tblLook w:firstColumn="1" w:firstRow="1" w:lastColumn="0" w:lastRow="0" w:noHBand="0" w:noVBand="1" w:val="04A0"/>
      </w:tblPr>
      <w:tblGrid>
        <w:gridCol w:w="4419"/>
        <w:gridCol w:w="4419"/>
      </w:tblGrid>
      <w:tr>
        <w:tc>
          <w:tcPr>
            <w:tcW w:type="dxa" w:w="4419"/>
          </w:tcPr>
          <w:p>
            <w:r>
              <w:rPr>
                <w:sz w:val="22"/>
              </w:rPr>
              <w:t>操作系统</w:t>
            </w:r>
          </w:p>
        </w:tc>
        <w:tc>
          <w:tcPr>
            <w:tcW w:type="dxa" w:w="4419"/>
          </w:tcPr>
          <w:p>
            <w:r>
              <w:rPr>
                <w:sz w:val="22"/>
              </w:rPr>
              <w:t>Windows 11 Pro (版本 10.0.26200)</w:t>
            </w:r>
          </w:p>
        </w:tc>
      </w:tr>
      <w:tr>
        <w:tc>
          <w:tcPr>
            <w:tcW w:type="dxa" w:w="4419"/>
          </w:tcPr>
          <w:p>
            <w:r>
              <w:rPr>
                <w:sz w:val="22"/>
              </w:rPr>
              <w:t>编程语言</w:t>
            </w:r>
          </w:p>
        </w:tc>
        <w:tc>
          <w:tcPr>
            <w:tcW w:type="dxa" w:w="4419"/>
          </w:tcPr>
          <w:p>
            <w:r>
              <w:rPr>
                <w:sz w:val="22"/>
              </w:rPr>
              <w:t>Python 3.14.4</w:t>
            </w:r>
          </w:p>
        </w:tc>
      </w:tr>
      <w:tr>
        <w:tc>
          <w:tcPr>
            <w:tcW w:type="dxa" w:w="4419"/>
          </w:tcPr>
          <w:p>
            <w:r>
              <w:rPr>
                <w:sz w:val="22"/>
              </w:rPr>
              <w:t>深度学习框架</w:t>
            </w:r>
          </w:p>
        </w:tc>
        <w:tc>
          <w:tcPr>
            <w:tcW w:type="dxa" w:w="4419"/>
          </w:tcPr>
          <w:p>
            <w:r>
              <w:rPr>
                <w:sz w:val="22"/>
              </w:rPr>
              <w:t>PyTorch（支持CUDA加速）</w:t>
            </w:r>
          </w:p>
        </w:tc>
      </w:tr>
      <w:tr>
        <w:tc>
          <w:tcPr>
            <w:tcW w:type="dxa" w:w="4419"/>
          </w:tcPr>
          <w:p>
            <w:r>
              <w:rPr>
                <w:sz w:val="22"/>
              </w:rPr>
              <w:t>数值计算</w:t>
            </w:r>
          </w:p>
        </w:tc>
        <w:tc>
          <w:tcPr>
            <w:tcW w:type="dxa" w:w="4419"/>
          </w:tcPr>
          <w:p>
            <w:r>
              <w:rPr>
                <w:sz w:val="22"/>
              </w:rPr>
              <w:t>NumPy, Pandas</w:t>
            </w:r>
          </w:p>
        </w:tc>
      </w:tr>
      <w:tr>
        <w:tc>
          <w:tcPr>
            <w:tcW w:type="dxa" w:w="4419"/>
          </w:tcPr>
          <w:p>
            <w:r>
              <w:rPr>
                <w:sz w:val="22"/>
              </w:rPr>
              <w:t>机器学习工具</w:t>
            </w:r>
          </w:p>
        </w:tc>
        <w:tc>
          <w:tcPr>
            <w:tcW w:type="dxa" w:w="4419"/>
          </w:tcPr>
          <w:p>
            <w:r>
              <w:rPr>
                <w:sz w:val="22"/>
              </w:rPr>
              <w:t>scikit-learn</w:t>
            </w:r>
          </w:p>
        </w:tc>
      </w:tr>
      <w:tr>
        <w:tc>
          <w:tcPr>
            <w:tcW w:type="dxa" w:w="4419"/>
          </w:tcPr>
          <w:p>
            <w:r>
              <w:rPr>
                <w:sz w:val="22"/>
              </w:rPr>
              <w:t>数据可视化</w:t>
            </w:r>
          </w:p>
        </w:tc>
        <w:tc>
          <w:tcPr>
            <w:tcW w:type="dxa" w:w="4419"/>
          </w:tcPr>
          <w:p>
            <w:r>
              <w:rPr>
                <w:sz w:val="22"/>
              </w:rPr>
              <w:t>Matplotlib, Seaborn</w:t>
            </w:r>
          </w:p>
        </w:tc>
      </w:tr>
      <w:tr>
        <w:tc>
          <w:tcPr>
            <w:tcW w:type="dxa" w:w="4419"/>
          </w:tcPr>
          <w:p>
            <w:r>
              <w:rPr>
                <w:sz w:val="22"/>
              </w:rPr>
              <w:t>开发环境</w:t>
            </w:r>
          </w:p>
        </w:tc>
        <w:tc>
          <w:tcPr>
            <w:tcW w:type="dxa" w:w="4419"/>
          </w:tcPr>
          <w:p>
            <w:r>
              <w:rPr>
                <w:sz w:val="22"/>
              </w:rPr>
              <w:t>VSCode</w:t>
            </w:r>
          </w:p>
        </w:tc>
      </w:tr>
      <w:tr>
        <w:tc>
          <w:tcPr>
            <w:tcW w:type="dxa" w:w="4419"/>
          </w:tcPr>
          <w:p>
            <w:r>
              <w:rPr>
                <w:sz w:val="22"/>
              </w:rPr>
              <w:t>文档生成</w:t>
            </w:r>
          </w:p>
        </w:tc>
        <w:tc>
          <w:tcPr>
            <w:tcW w:type="dxa" w:w="4419"/>
          </w:tcPr>
          <w:p>
            <w:r>
              <w:rPr>
                <w:sz w:val="22"/>
              </w:rPr>
              <w:t>python-docx</w:t>
            </w:r>
          </w:p>
        </w:tc>
      </w:tr>
    </w:tbl>
    <w:p>
      <w:pPr>
        <w:pStyle w:val="Heading1"/>
      </w:pPr>
      <w:r>
        <w:t>三、实验原理</w:t>
      </w:r>
    </w:p>
    <w:p>
      <w:pPr>
        <w:pStyle w:val="Heading2"/>
      </w:pPr>
      <w:r>
        <w:t>3.1 心电信号与心跳分类</w:t>
      </w:r>
    </w:p>
    <w:p>
      <w:pPr>
        <w:spacing w:line="440" w:lineRule="exact"/>
        <w:ind w:firstLine="420"/>
      </w:pPr>
      <w:r>
        <w:rPr>
          <w:rFonts w:ascii="宋体" w:hAnsi="宋体" w:eastAsia="宋体"/>
          <w:sz w:val="24"/>
        </w:rPr>
        <w:t>心电图（Electrocardiogram, ECG）是通过记录心脏电活动产生的生物电信号，是临床诊断心脏疾病的重要手段。正常心跳信号呈现规律的P波、QRS波群和T波形态，而不同类型的心律失常会导致心跳信号的波形形态发生特征性改变。不同类别的心跳信号在波形幅度、持续时间、形态变化等方面存在差异，这为基于深度学习的自动分类提供了可能。</w:t>
      </w:r>
    </w:p>
    <w:p>
      <w:pPr>
        <w:spacing w:line="440" w:lineRule="exact"/>
        <w:ind w:firstLine="420"/>
      </w:pPr>
      <w:r>
        <w:rPr>
          <w:rFonts w:ascii="宋体" w:hAnsi="宋体" w:eastAsia="宋体"/>
          <w:sz w:val="24"/>
        </w:rPr>
        <w:t>本实验的目标是根据单导联心跳信号的时域波形特征，将每条心跳记录自动分类到对应的类别中。数据集包含四种类别：正常心跳（类别0）和三种不同类型的心律失常（类别1、类别2、类别3）。</w:t>
      </w:r>
    </w:p>
    <w:p>
      <w:pPr>
        <w:pStyle w:val="Heading2"/>
      </w:pPr>
      <w:r>
        <w:t>3.2 一维卷积神经网络（1D CNN）</w:t>
      </w:r>
    </w:p>
    <w:p>
      <w:pPr>
        <w:spacing w:line="440" w:lineRule="exact"/>
        <w:ind w:firstLine="420"/>
      </w:pPr>
      <w:r>
        <w:rPr>
          <w:rFonts w:ascii="宋体" w:hAnsi="宋体" w:eastAsia="宋体"/>
          <w:sz w:val="24"/>
        </w:rPr>
        <w:t>一维卷积神经网络（1D CNN）是专门处理序列数据（如时间序列、音频信号、文本数据等）的深度学习模型。与处理图像的二维CNN不同，1D CNN在一维序列上沿时间维度执行卷积操作，能够有效提取序列中的局部时序模式特征。</w:t>
      </w:r>
    </w:p>
    <w:p>
      <w:pPr>
        <w:spacing w:line="440" w:lineRule="exact"/>
        <w:ind w:firstLine="420"/>
      </w:pPr>
      <w:r>
        <w:rPr>
          <w:rFonts w:ascii="宋体" w:hAnsi="宋体" w:eastAsia="宋体"/>
          <w:sz w:val="24"/>
        </w:rPr>
        <w:t>1D CNN的核心组件及其在本实验中的作用如下：</w:t>
      </w:r>
    </w:p>
    <w:p>
      <w:pPr>
        <w:pStyle w:val="ListBullet"/>
        <w:spacing w:line="440" w:lineRule="exact"/>
      </w:pPr>
      <w:r>
        <w:rPr>
          <w:rFonts w:ascii="宋体" w:hAnsi="宋体" w:eastAsia="宋体"/>
          <w:sz w:val="24"/>
        </w:rPr>
        <w:t>一维卷积层（nn.Conv1d）：使用一维卷积核沿时间轴滑动，与局部信号片段进行卷积运算，提取局部波形特征（如波峰、波谷、斜率变化等）。</w:t>
      </w:r>
    </w:p>
    <w:p>
      <w:pPr>
        <w:pStyle w:val="ListBullet"/>
        <w:spacing w:line="440" w:lineRule="exact"/>
      </w:pPr>
      <w:r>
        <w:rPr>
          <w:rFonts w:ascii="宋体" w:hAnsi="宋体" w:eastAsia="宋体"/>
          <w:sz w:val="24"/>
        </w:rPr>
        <w:t>批归一化层（nn.BatchNorm1d）：对每个特征通道进行归一化处理，加速训练收敛速度，缓解梯度消失问题，同时具有一定的正则化效果。</w:t>
      </w:r>
    </w:p>
    <w:p>
      <w:pPr>
        <w:pStyle w:val="ListBullet"/>
        <w:spacing w:line="440" w:lineRule="exact"/>
      </w:pPr>
      <w:r>
        <w:rPr>
          <w:rFonts w:ascii="宋体" w:hAnsi="宋体" w:eastAsia="宋体"/>
          <w:sz w:val="24"/>
        </w:rPr>
        <w:t>ReLU激活函数：引入非线性变换，增强模型的表达能力，同时缓解梯度消失问题。</w:t>
      </w:r>
    </w:p>
    <w:p>
      <w:pPr>
        <w:pStyle w:val="ListBullet"/>
        <w:spacing w:line="440" w:lineRule="exact"/>
      </w:pPr>
      <w:r>
        <w:rPr>
          <w:rFonts w:ascii="宋体" w:hAnsi="宋体" w:eastAsia="宋体"/>
          <w:sz w:val="24"/>
        </w:rPr>
        <w:t>最大池化层（nn.MaxPool1d）：对特征图进行下采样，降低特征维度，提取局部区域内的最显著特征，同时增大感受野。</w:t>
      </w:r>
    </w:p>
    <w:p>
      <w:pPr>
        <w:pStyle w:val="ListBullet"/>
        <w:spacing w:line="440" w:lineRule="exact"/>
      </w:pPr>
      <w:r>
        <w:rPr>
          <w:rFonts w:ascii="宋体" w:hAnsi="宋体" w:eastAsia="宋体"/>
          <w:sz w:val="24"/>
        </w:rPr>
        <w:t>自适应最大池化层（nn.AdaptiveMaxPool1d）：将任意长度的特征图池化为固定大小的输出，确保全连接层的输入维度固定。</w:t>
      </w:r>
    </w:p>
    <w:p>
      <w:pPr>
        <w:pStyle w:val="ListBullet"/>
        <w:spacing w:line="440" w:lineRule="exact"/>
      </w:pPr>
      <w:r>
        <w:rPr>
          <w:rFonts w:ascii="宋体" w:hAnsi="宋体" w:eastAsia="宋体"/>
          <w:sz w:val="24"/>
        </w:rPr>
        <w:t>全连接层（nn.Linear）：将卷积层提取的高层特征映射到类别空间，实现最终的分类决策。</w:t>
      </w:r>
    </w:p>
    <w:p>
      <w:pPr>
        <w:pStyle w:val="ListBullet"/>
        <w:spacing w:line="440" w:lineRule="exact"/>
      </w:pPr>
      <w:r>
        <w:rPr>
          <w:rFonts w:ascii="宋体" w:hAnsi="宋体" w:eastAsia="宋体"/>
          <w:sz w:val="24"/>
        </w:rPr>
        <w:t>Dropout层：在训练过程中以一定概率随机丢弃神经元，防止模型过拟合，增强泛化能力。</w:t>
      </w:r>
    </w:p>
    <w:p>
      <w:pPr>
        <w:pStyle w:val="Heading2"/>
      </w:pPr>
      <w:r>
        <w:t>3.3 损失函数与优化算法</w:t>
      </w:r>
    </w:p>
    <w:p>
      <w:pPr>
        <w:spacing w:line="440" w:lineRule="exact"/>
        <w:ind w:firstLine="420"/>
      </w:pPr>
      <w:r>
        <w:rPr>
          <w:rFonts w:ascii="宋体" w:hAnsi="宋体" w:eastAsia="宋体"/>
          <w:sz w:val="24"/>
        </w:rPr>
        <w:t>本实验采用交叉熵损失函数（CrossEntropyLoss），是处理多分类问题的标准损失函数。其计算公式为：</w:t>
      </w:r>
    </w:p>
    <w:p>
      <w:pPr>
        <w:spacing w:line="440" w:lineRule="exact"/>
        <w:ind w:firstLine="420"/>
      </w:pPr>
      <w:r>
        <w:rPr>
          <w:rFonts w:ascii="宋体" w:hAnsi="宋体" w:eastAsia="宋体"/>
          <w:sz w:val="24"/>
        </w:rPr>
        <w:t>L = -Σ y_i · log(p_i)</w:t>
      </w:r>
    </w:p>
    <w:p>
      <w:pPr>
        <w:spacing w:line="440" w:lineRule="exact"/>
        <w:ind w:firstLine="420"/>
      </w:pPr>
      <w:r>
        <w:rPr>
          <w:rFonts w:ascii="宋体" w:hAnsi="宋体" w:eastAsia="宋体"/>
          <w:sz w:val="24"/>
        </w:rPr>
        <w:t>其中y_i为真实标签的one-hot编码，p_i为模型预测的类别概率。</w:t>
      </w:r>
    </w:p>
    <w:p>
      <w:pPr>
        <w:spacing w:line="440" w:lineRule="exact"/>
        <w:ind w:firstLine="420"/>
      </w:pPr>
      <w:r>
        <w:rPr>
          <w:rFonts w:ascii="宋体" w:hAnsi="宋体" w:eastAsia="宋体"/>
          <w:sz w:val="24"/>
        </w:rPr>
        <w:t>优化器选用AdamW（Adam with Weight Decay），它在Adam自适应矩估计优化器的基础上引入了解耦的权重衰减（Weight Decay）正则化，有效提升模型的泛化能力。同时使用余弦退火学习率调度器（CosineAnnealingLR），使学习率在训练过程中按余弦函数从初始值平滑递减至零，有助于模型在训练后期进行精细化参数调整。</w:t>
      </w:r>
    </w:p>
    <w:p>
      <w:pPr>
        <w:pStyle w:val="Heading1"/>
      </w:pPr>
      <w:r>
        <w:t>四、实验数据</w:t>
      </w:r>
    </w:p>
    <w:p>
      <w:pPr>
        <w:pStyle w:val="Heading2"/>
      </w:pPr>
      <w:r>
        <w:t>4.1 数据来源与格式</w:t>
      </w:r>
    </w:p>
    <w:p>
      <w:pPr>
        <w:spacing w:line="440" w:lineRule="exact"/>
        <w:ind w:firstLine="420"/>
      </w:pPr>
      <w:r>
        <w:rPr>
          <w:rFonts w:ascii="宋体" w:hAnsi="宋体" w:eastAsia="宋体"/>
          <w:sz w:val="24"/>
        </w:rPr>
        <w:t>本实验使用的心跳信号数据集来源于公开的ECG心电数据，包含100,000条心电信号记录。每条记录包含以下几个字段：</w:t>
      </w:r>
    </w:p>
    <w:p>
      <w:pPr>
        <w:pStyle w:val="ListBullet"/>
        <w:spacing w:line="440" w:lineRule="exact"/>
      </w:pPr>
      <w:r>
        <w:rPr>
          <w:rFonts w:ascii="宋体" w:hAnsi="宋体" w:eastAsia="宋体"/>
          <w:sz w:val="24"/>
        </w:rPr>
        <w:t>id：样本的唯一标识符</w:t>
      </w:r>
    </w:p>
    <w:p>
      <w:pPr>
        <w:pStyle w:val="ListBullet"/>
        <w:spacing w:line="440" w:lineRule="exact"/>
      </w:pPr>
      <w:r>
        <w:rPr>
          <w:rFonts w:ascii="宋体" w:hAnsi="宋体" w:eastAsia="宋体"/>
          <w:sz w:val="24"/>
        </w:rPr>
        <w:t>heartbeat_signals：长度为205的时间序列信号值，以逗号分隔存储</w:t>
      </w:r>
    </w:p>
    <w:p>
      <w:pPr>
        <w:pStyle w:val="ListBullet"/>
        <w:spacing w:line="440" w:lineRule="exact"/>
      </w:pPr>
      <w:r>
        <w:rPr>
          <w:rFonts w:ascii="宋体" w:hAnsi="宋体" w:eastAsia="宋体"/>
          <w:sz w:val="24"/>
        </w:rPr>
        <w:t>label：类别标签（0-3）</w:t>
      </w:r>
    </w:p>
    <w:p>
      <w:pPr>
        <w:spacing w:line="440" w:lineRule="exact"/>
        <w:ind w:firstLine="420"/>
      </w:pPr>
      <w:r>
        <w:rPr>
          <w:rFonts w:ascii="宋体" w:hAnsi="宋体" w:eastAsia="宋体"/>
          <w:sz w:val="24"/>
        </w:rPr>
        <w:t>每条心跳信号包含205个采样时间点，信号值经过归一化处理，数值范围在[0.0000, 1.0000]之间。数据集的全局均值为0.2254，标准差为0.2602。</w:t>
      </w:r>
    </w:p>
    <w:p>
      <w:pPr>
        <w:pStyle w:val="Heading2"/>
      </w:pPr>
      <w:r>
        <w:t>4.2 标签分布</w:t>
      </w:r>
    </w:p>
    <w:p>
      <w:pPr>
        <w:spacing w:line="440" w:lineRule="exact"/>
        <w:ind w:firstLine="420"/>
      </w:pPr>
      <w:r>
        <w:rPr>
          <w:rFonts w:ascii="宋体" w:hAnsi="宋体" w:eastAsia="宋体"/>
          <w:sz w:val="24"/>
        </w:rPr>
        <w:t>数据集包含4个类别，各类别的样本数量分布如下表所示：</w:t>
      </w:r>
    </w:p>
    <w:tbl>
      <w:tblPr>
        <w:tblStyle w:val="LightGrid-Accent1"/>
        <w:tblW w:type="auto" w:w="0"/>
        <w:tblLook w:firstColumn="1" w:firstRow="1" w:lastColumn="0" w:lastRow="0" w:noHBand="0" w:noVBand="1" w:val="04A0"/>
      </w:tblPr>
      <w:tblGrid>
        <w:gridCol w:w="2209"/>
        <w:gridCol w:w="2209"/>
        <w:gridCol w:w="2209"/>
        <w:gridCol w:w="2209"/>
      </w:tblGrid>
      <w:tr>
        <w:tc>
          <w:tcPr>
            <w:tcW w:type="dxa" w:w="2209"/>
          </w:tcPr>
          <w:p>
            <w:r>
              <w:rPr>
                <w:b/>
                <w:sz w:val="22"/>
              </w:rPr>
              <w:t>类别</w:t>
            </w:r>
          </w:p>
        </w:tc>
        <w:tc>
          <w:tcPr>
            <w:tcW w:type="dxa" w:w="2209"/>
          </w:tcPr>
          <w:p>
            <w:r>
              <w:rPr>
                <w:b/>
                <w:sz w:val="22"/>
              </w:rPr>
              <w:t>类别含义</w:t>
            </w:r>
          </w:p>
        </w:tc>
        <w:tc>
          <w:tcPr>
            <w:tcW w:type="dxa" w:w="2209"/>
          </w:tcPr>
          <w:p>
            <w:r>
              <w:rPr>
                <w:b/>
                <w:sz w:val="22"/>
              </w:rPr>
              <w:t>样本数</w:t>
            </w:r>
          </w:p>
        </w:tc>
        <w:tc>
          <w:tcPr>
            <w:tcW w:type="dxa" w:w="2209"/>
          </w:tcPr>
          <w:p>
            <w:r>
              <w:rPr>
                <w:b/>
                <w:sz w:val="22"/>
              </w:rPr>
              <w:t>占比</w:t>
            </w:r>
          </w:p>
        </w:tc>
      </w:tr>
      <w:tr>
        <w:tc>
          <w:tcPr>
            <w:tcW w:type="dxa" w:w="2209"/>
          </w:tcPr>
          <w:p>
            <w:r>
              <w:rPr>
                <w:sz w:val="22"/>
              </w:rPr>
              <w:t>0</w:t>
            </w:r>
          </w:p>
        </w:tc>
        <w:tc>
          <w:tcPr>
            <w:tcW w:type="dxa" w:w="2209"/>
          </w:tcPr>
          <w:p>
            <w:r>
              <w:rPr>
                <w:sz w:val="22"/>
              </w:rPr>
              <w:t>正常心跳</w:t>
            </w:r>
          </w:p>
        </w:tc>
        <w:tc>
          <w:tcPr>
            <w:tcW w:type="dxa" w:w="2209"/>
          </w:tcPr>
          <w:p>
            <w:r>
              <w:rPr>
                <w:sz w:val="22"/>
              </w:rPr>
              <w:t>64,327</w:t>
            </w:r>
          </w:p>
        </w:tc>
        <w:tc>
          <w:tcPr>
            <w:tcW w:type="dxa" w:w="2209"/>
          </w:tcPr>
          <w:p>
            <w:r>
              <w:rPr>
                <w:sz w:val="22"/>
              </w:rPr>
              <w:t>64.33%</w:t>
            </w:r>
          </w:p>
        </w:tc>
      </w:tr>
      <w:tr>
        <w:tc>
          <w:tcPr>
            <w:tcW w:type="dxa" w:w="2209"/>
          </w:tcPr>
          <w:p>
            <w:r>
              <w:rPr>
                <w:sz w:val="22"/>
              </w:rPr>
              <w:t>1</w:t>
            </w:r>
          </w:p>
        </w:tc>
        <w:tc>
          <w:tcPr>
            <w:tcW w:type="dxa" w:w="2209"/>
          </w:tcPr>
          <w:p>
            <w:r>
              <w:rPr>
                <w:sz w:val="22"/>
              </w:rPr>
              <w:t>异常类型1</w:t>
            </w:r>
          </w:p>
        </w:tc>
        <w:tc>
          <w:tcPr>
            <w:tcW w:type="dxa" w:w="2209"/>
          </w:tcPr>
          <w:p>
            <w:r>
              <w:rPr>
                <w:sz w:val="22"/>
              </w:rPr>
              <w:t>3,562</w:t>
            </w:r>
          </w:p>
        </w:tc>
        <w:tc>
          <w:tcPr>
            <w:tcW w:type="dxa" w:w="2209"/>
          </w:tcPr>
          <w:p>
            <w:r>
              <w:rPr>
                <w:sz w:val="22"/>
              </w:rPr>
              <w:t>3.56%</w:t>
            </w:r>
          </w:p>
        </w:tc>
      </w:tr>
      <w:tr>
        <w:tc>
          <w:tcPr>
            <w:tcW w:type="dxa" w:w="2209"/>
          </w:tcPr>
          <w:p>
            <w:r>
              <w:rPr>
                <w:sz w:val="22"/>
              </w:rPr>
              <w:t>2</w:t>
            </w:r>
          </w:p>
        </w:tc>
        <w:tc>
          <w:tcPr>
            <w:tcW w:type="dxa" w:w="2209"/>
          </w:tcPr>
          <w:p>
            <w:r>
              <w:rPr>
                <w:sz w:val="22"/>
              </w:rPr>
              <w:t>异常类型2</w:t>
            </w:r>
          </w:p>
        </w:tc>
        <w:tc>
          <w:tcPr>
            <w:tcW w:type="dxa" w:w="2209"/>
          </w:tcPr>
          <w:p>
            <w:r>
              <w:rPr>
                <w:sz w:val="22"/>
              </w:rPr>
              <w:t>14,199</w:t>
            </w:r>
          </w:p>
        </w:tc>
        <w:tc>
          <w:tcPr>
            <w:tcW w:type="dxa" w:w="2209"/>
          </w:tcPr>
          <w:p>
            <w:r>
              <w:rPr>
                <w:sz w:val="22"/>
              </w:rPr>
              <w:t>14.20%</w:t>
            </w:r>
          </w:p>
        </w:tc>
      </w:tr>
      <w:tr>
        <w:tc>
          <w:tcPr>
            <w:tcW w:type="dxa" w:w="2209"/>
          </w:tcPr>
          <w:p>
            <w:r>
              <w:rPr>
                <w:sz w:val="22"/>
              </w:rPr>
              <w:t>3</w:t>
            </w:r>
          </w:p>
        </w:tc>
        <w:tc>
          <w:tcPr>
            <w:tcW w:type="dxa" w:w="2209"/>
          </w:tcPr>
          <w:p>
            <w:r>
              <w:rPr>
                <w:sz w:val="22"/>
              </w:rPr>
              <w:t>异常类型3</w:t>
            </w:r>
          </w:p>
        </w:tc>
        <w:tc>
          <w:tcPr>
            <w:tcW w:type="dxa" w:w="2209"/>
          </w:tcPr>
          <w:p>
            <w:r>
              <w:rPr>
                <w:sz w:val="22"/>
              </w:rPr>
              <w:t>17,912</w:t>
            </w:r>
          </w:p>
        </w:tc>
        <w:tc>
          <w:tcPr>
            <w:tcW w:type="dxa" w:w="2209"/>
          </w:tcPr>
          <w:p>
            <w:r>
              <w:rPr>
                <w:sz w:val="22"/>
              </w:rPr>
              <w:t>17.91%</w:t>
            </w:r>
          </w:p>
        </w:tc>
      </w:tr>
    </w:tbl>
    <w:p>
      <w:pPr>
        <w:spacing w:line="440" w:lineRule="exact"/>
        <w:ind w:firstLine="420"/>
      </w:pPr>
      <w:r>
        <w:rPr>
          <w:rFonts w:ascii="宋体" w:hAnsi="宋体" w:eastAsia="宋体"/>
          <w:sz w:val="24"/>
        </w:rPr>
        <w:t>从标签分布可以看出，数据集存在明显的类别不平衡问题：类别0（正常心跳）占比超过64%，而类别1仅占3.56%，两者样本数相差约18倍。这种不平衡性对模型的训练和评估带来了挑战，可能导致模型对少数类别的识别能力不足。</w:t>
      </w:r>
    </w:p>
    <w:p>
      <w:pPr>
        <w:pStyle w:val="Heading2"/>
      </w:pPr>
      <w:r>
        <w:t>4.3 类别信号特征可视化</w:t>
      </w:r>
    </w:p>
    <w:p>
      <w:pPr>
        <w:spacing w:line="440" w:lineRule="exact"/>
        <w:ind w:firstLine="420"/>
      </w:pPr>
      <w:r>
        <w:rPr>
          <w:rFonts w:ascii="宋体" w:hAnsi="宋体" w:eastAsia="宋体"/>
          <w:sz w:val="24"/>
        </w:rPr>
        <w:t>图1展示了各类别心跳信号的平均波形（实线）及其标准差范围（阴影区域），从中可以观察到不同类别信号之间的形态差异。</w:t>
      </w:r>
    </w:p>
    <w:p>
      <w:pPr>
        <w:spacing w:line="440" w:lineRule="exact"/>
        <w:ind w:firstLine="420"/>
      </w:pPr>
      <w:r>
        <w:rPr>
          <w:rFonts w:ascii="宋体" w:hAnsi="宋体" w:eastAsia="宋体"/>
          <w:sz w:val="24"/>
        </w:rPr>
        <w:t>类别0（正常心跳）呈现典型的ECG波形特征，包括明显的P波、QRS波群和T波。类别1、类别2和类别3作为异常心跳信号，其波形形态与正常信号存在显著差异——部分类别在波幅、波宽或波形形态上表现出异常特征，这些差异为深度学习模型提供了分类依据。</w:t>
      </w:r>
    </w:p>
    <w:p>
      <w:pPr>
        <w:jc w:val="center"/>
      </w:pPr>
      <w:r>
        <w:drawing>
          <wp:inline xmlns:a="http://schemas.openxmlformats.org/drawingml/2006/main" xmlns:pic="http://schemas.openxmlformats.org/drawingml/2006/picture">
            <wp:extent cx="4754880" cy="2695806"/>
            <wp:docPr id="1" name="Picture 1"/>
            <wp:cNvGraphicFramePr>
              <a:graphicFrameLocks noChangeAspect="1"/>
            </wp:cNvGraphicFramePr>
            <a:graphic>
              <a:graphicData uri="http://schemas.openxmlformats.org/drawingml/2006/picture">
                <pic:pic>
                  <pic:nvPicPr>
                    <pic:cNvPr id="0" name="class_signal_analysis.png"/>
                    <pic:cNvPicPr/>
                  </pic:nvPicPr>
                  <pic:blipFill>
                    <a:blip r:embed="rId9"/>
                    <a:stretch>
                      <a:fillRect/>
                    </a:stretch>
                  </pic:blipFill>
                  <pic:spPr>
                    <a:xfrm>
                      <a:off x="0" y="0"/>
                      <a:ext cx="4754880" cy="2695806"/>
                    </a:xfrm>
                    <a:prstGeom prst="rect"/>
                  </pic:spPr>
                </pic:pic>
              </a:graphicData>
            </a:graphic>
          </wp:inline>
        </w:drawing>
      </w:r>
    </w:p>
    <w:p>
      <w:pPr>
        <w:jc w:val="center"/>
      </w:pPr>
      <w:r>
        <w:rPr>
          <w:rFonts w:ascii="宋体" w:hAnsi="宋体" w:eastAsia="宋体"/>
          <w:sz w:val="20"/>
        </w:rPr>
        <w:t>图1 各类别心跳信号的平均波形与标准差范围</w:t>
      </w:r>
    </w:p>
    <w:p>
      <w:pPr>
        <w:spacing w:line="440" w:lineRule="exact"/>
        <w:ind w:firstLine="420"/>
      </w:pPr>
      <w:r>
        <w:rPr>
          <w:rFonts w:ascii="宋体" w:hAnsi="宋体" w:eastAsia="宋体"/>
          <w:sz w:val="24"/>
        </w:rPr>
        <w:t>图2为数据集中各类别标签的样本数量分布条形图，直观反映了数据的不平衡性。</w:t>
      </w:r>
    </w:p>
    <w:p>
      <w:pPr>
        <w:jc w:val="center"/>
      </w:pPr>
      <w:r>
        <w:drawing>
          <wp:inline xmlns:a="http://schemas.openxmlformats.org/drawingml/2006/main" xmlns:pic="http://schemas.openxmlformats.org/drawingml/2006/picture">
            <wp:extent cx="3657600" cy="2261118"/>
            <wp:docPr id="2" name="Picture 2"/>
            <wp:cNvGraphicFramePr>
              <a:graphicFrameLocks noChangeAspect="1"/>
            </wp:cNvGraphicFramePr>
            <a:graphic>
              <a:graphicData uri="http://schemas.openxmlformats.org/drawingml/2006/picture">
                <pic:pic>
                  <pic:nvPicPr>
                    <pic:cNvPr id="0" name="label_distribution.png"/>
                    <pic:cNvPicPr/>
                  </pic:nvPicPr>
                  <pic:blipFill>
                    <a:blip r:embed="rId10"/>
                    <a:stretch>
                      <a:fillRect/>
                    </a:stretch>
                  </pic:blipFill>
                  <pic:spPr>
                    <a:xfrm>
                      <a:off x="0" y="0"/>
                      <a:ext cx="3657600" cy="2261118"/>
                    </a:xfrm>
                    <a:prstGeom prst="rect"/>
                  </pic:spPr>
                </pic:pic>
              </a:graphicData>
            </a:graphic>
          </wp:inline>
        </w:drawing>
      </w:r>
    </w:p>
    <w:p>
      <w:pPr>
        <w:jc w:val="center"/>
      </w:pPr>
      <w:r>
        <w:rPr>
          <w:rFonts w:ascii="宋体" w:hAnsi="宋体" w:eastAsia="宋体"/>
          <w:sz w:val="20"/>
        </w:rPr>
        <w:t>图2 心跳信号标签分布</w:t>
      </w:r>
    </w:p>
    <w:p>
      <w:pPr>
        <w:pStyle w:val="Heading1"/>
      </w:pPr>
      <w:r>
        <w:t>五、模型设计</w:t>
      </w:r>
    </w:p>
    <w:p>
      <w:pPr>
        <w:pStyle w:val="Heading2"/>
      </w:pPr>
      <w:r>
        <w:t>5.1 神经网络结构</w:t>
      </w:r>
    </w:p>
    <w:p>
      <w:pPr>
        <w:spacing w:line="440" w:lineRule="exact"/>
        <w:ind w:firstLine="420"/>
      </w:pPr>
      <w:r>
        <w:rPr>
          <w:rFonts w:ascii="宋体" w:hAnsi="宋体" w:eastAsia="宋体"/>
          <w:sz w:val="24"/>
        </w:rPr>
        <w:t>本实验构建了一维卷积神经网络（CNN1D），网络结构包含四个卷积特征提取块和一个由两个全连接层组成的分类器。模型总参数量为168,196个，所有参数均为可训练参数。具体结构如下表所示：</w:t>
      </w:r>
    </w:p>
    <w:tbl>
      <w:tblPr>
        <w:tblStyle w:val="LightGrid-Accent1"/>
        <w:tblW w:type="auto" w:w="0"/>
        <w:tblLook w:firstColumn="1" w:firstRow="1" w:lastColumn="0" w:lastRow="0" w:noHBand="0" w:noVBand="1" w:val="04A0"/>
      </w:tblPr>
      <w:tblGrid>
        <w:gridCol w:w="2209"/>
        <w:gridCol w:w="2209"/>
        <w:gridCol w:w="2209"/>
        <w:gridCol w:w="2209"/>
      </w:tblGrid>
      <w:tr>
        <w:tc>
          <w:tcPr>
            <w:tcW w:type="dxa" w:w="2209"/>
          </w:tcPr>
          <w:p>
            <w:r>
              <w:rPr>
                <w:b/>
                <w:sz w:val="20"/>
              </w:rPr>
              <w:t>模块</w:t>
            </w:r>
          </w:p>
        </w:tc>
        <w:tc>
          <w:tcPr>
            <w:tcW w:type="dxa" w:w="2209"/>
          </w:tcPr>
          <w:p>
            <w:r>
              <w:rPr>
                <w:b/>
                <w:sz w:val="20"/>
              </w:rPr>
              <w:t>层类型</w:t>
            </w:r>
          </w:p>
        </w:tc>
        <w:tc>
          <w:tcPr>
            <w:tcW w:type="dxa" w:w="2209"/>
          </w:tcPr>
          <w:p>
            <w:r>
              <w:rPr>
                <w:b/>
                <w:sz w:val="20"/>
              </w:rPr>
              <w:t>参数配置</w:t>
            </w:r>
          </w:p>
        </w:tc>
        <w:tc>
          <w:tcPr>
            <w:tcW w:type="dxa" w:w="2209"/>
          </w:tcPr>
          <w:p>
            <w:r>
              <w:rPr>
                <w:b/>
                <w:sz w:val="20"/>
              </w:rPr>
              <w:t>输出维度</w:t>
            </w:r>
          </w:p>
        </w:tc>
      </w:tr>
      <w:tr>
        <w:tc>
          <w:tcPr>
            <w:tcW w:type="dxa" w:w="2209"/>
          </w:tcPr>
          <w:p>
            <w:r>
              <w:rPr>
                <w:sz w:val="20"/>
              </w:rPr>
              <w:t>输入层</w:t>
            </w:r>
          </w:p>
        </w:tc>
        <w:tc>
          <w:tcPr>
            <w:tcW w:type="dxa" w:w="2209"/>
          </w:tcPr>
          <w:p>
            <w:r>
              <w:rPr>
                <w:sz w:val="20"/>
              </w:rPr>
              <w:t>-</w:t>
            </w:r>
          </w:p>
        </w:tc>
        <w:tc>
          <w:tcPr>
            <w:tcW w:type="dxa" w:w="2209"/>
          </w:tcPr>
          <w:p>
            <w:r>
              <w:rPr>
                <w:sz w:val="20"/>
              </w:rPr>
              <w:t>输入通道1, 信号长度205</w:t>
            </w:r>
          </w:p>
        </w:tc>
        <w:tc>
          <w:tcPr>
            <w:tcW w:type="dxa" w:w="2209"/>
          </w:tcPr>
          <w:p>
            <w:r>
              <w:rPr>
                <w:sz w:val="20"/>
              </w:rPr>
              <w:t>(1, 205)</w:t>
            </w:r>
          </w:p>
        </w:tc>
      </w:tr>
      <w:tr>
        <w:tc>
          <w:tcPr>
            <w:tcW w:type="dxa" w:w="2209"/>
          </w:tcPr>
          <w:p>
            <w:r>
              <w:rPr>
                <w:sz w:val="20"/>
              </w:rPr>
              <w:t>Block 1</w:t>
            </w:r>
          </w:p>
        </w:tc>
        <w:tc>
          <w:tcPr>
            <w:tcW w:type="dxa" w:w="2209"/>
          </w:tcPr>
          <w:p>
            <w:r>
              <w:rPr>
                <w:sz w:val="20"/>
              </w:rPr>
              <w:t>Conv1d + BN + ReLU</w:t>
            </w:r>
          </w:p>
        </w:tc>
        <w:tc>
          <w:tcPr>
            <w:tcW w:type="dxa" w:w="2209"/>
          </w:tcPr>
          <w:p>
            <w:r>
              <w:rPr>
                <w:sz w:val="20"/>
              </w:rPr>
              <w:t>32通道, 卷积核7, 填充3</w:t>
            </w:r>
          </w:p>
        </w:tc>
        <w:tc>
          <w:tcPr>
            <w:tcW w:type="dxa" w:w="2209"/>
          </w:tcPr>
          <w:p>
            <w:r>
              <w:rPr>
                <w:sz w:val="20"/>
              </w:rPr>
              <w:t>(32, 103)</w:t>
            </w:r>
          </w:p>
        </w:tc>
      </w:tr>
      <w:tr>
        <w:tc>
          <w:tcPr>
            <w:tcW w:type="dxa" w:w="2209"/>
          </w:tcPr>
          <w:p>
            <w:r>
              <w:rPr>
                <w:sz w:val="20"/>
              </w:rPr>
            </w:r>
          </w:p>
        </w:tc>
        <w:tc>
          <w:tcPr>
            <w:tcW w:type="dxa" w:w="2209"/>
          </w:tcPr>
          <w:p>
            <w:r>
              <w:rPr>
                <w:sz w:val="20"/>
              </w:rPr>
              <w:t>MaxPool1d</w:t>
            </w:r>
          </w:p>
        </w:tc>
        <w:tc>
          <w:tcPr>
            <w:tcW w:type="dxa" w:w="2209"/>
          </w:tcPr>
          <w:p>
            <w:r>
              <w:rPr>
                <w:sz w:val="20"/>
              </w:rPr>
              <w:t>核大小2, 步长2</w:t>
            </w:r>
          </w:p>
        </w:tc>
        <w:tc>
          <w:tcPr>
            <w:tcW w:type="dxa" w:w="2209"/>
          </w:tcPr>
          <w:p>
            <w:r>
              <w:rPr>
                <w:sz w:val="20"/>
              </w:rPr>
              <w:t>(32, 51)</w:t>
            </w:r>
          </w:p>
        </w:tc>
      </w:tr>
      <w:tr>
        <w:tc>
          <w:tcPr>
            <w:tcW w:type="dxa" w:w="2209"/>
          </w:tcPr>
          <w:p>
            <w:r>
              <w:rPr>
                <w:sz w:val="20"/>
              </w:rPr>
              <w:t>Block 2</w:t>
            </w:r>
          </w:p>
        </w:tc>
        <w:tc>
          <w:tcPr>
            <w:tcW w:type="dxa" w:w="2209"/>
          </w:tcPr>
          <w:p>
            <w:r>
              <w:rPr>
                <w:sz w:val="20"/>
              </w:rPr>
              <w:t>Conv1d + BN + ReLU</w:t>
            </w:r>
          </w:p>
        </w:tc>
        <w:tc>
          <w:tcPr>
            <w:tcW w:type="dxa" w:w="2209"/>
          </w:tcPr>
          <w:p>
            <w:r>
              <w:rPr>
                <w:sz w:val="20"/>
              </w:rPr>
              <w:t>64通道, 卷积核5, 填充2</w:t>
            </w:r>
          </w:p>
        </w:tc>
        <w:tc>
          <w:tcPr>
            <w:tcW w:type="dxa" w:w="2209"/>
          </w:tcPr>
          <w:p>
            <w:r>
              <w:rPr>
                <w:sz w:val="20"/>
              </w:rPr>
              <w:t>(64, 26)</w:t>
            </w:r>
          </w:p>
        </w:tc>
      </w:tr>
      <w:tr>
        <w:tc>
          <w:tcPr>
            <w:tcW w:type="dxa" w:w="2209"/>
          </w:tcPr>
          <w:p>
            <w:r>
              <w:rPr>
                <w:sz w:val="20"/>
              </w:rPr>
            </w:r>
          </w:p>
        </w:tc>
        <w:tc>
          <w:tcPr>
            <w:tcW w:type="dxa" w:w="2209"/>
          </w:tcPr>
          <w:p>
            <w:r>
              <w:rPr>
                <w:sz w:val="20"/>
              </w:rPr>
              <w:t>MaxPool1d</w:t>
            </w:r>
          </w:p>
        </w:tc>
        <w:tc>
          <w:tcPr>
            <w:tcW w:type="dxa" w:w="2209"/>
          </w:tcPr>
          <w:p>
            <w:r>
              <w:rPr>
                <w:sz w:val="20"/>
              </w:rPr>
              <w:t>核大小2, 步长2</w:t>
            </w:r>
          </w:p>
        </w:tc>
        <w:tc>
          <w:tcPr>
            <w:tcW w:type="dxa" w:w="2209"/>
          </w:tcPr>
          <w:p>
            <w:r>
              <w:rPr>
                <w:sz w:val="20"/>
              </w:rPr>
              <w:t>(64, 13)</w:t>
            </w:r>
          </w:p>
        </w:tc>
      </w:tr>
      <w:tr>
        <w:tc>
          <w:tcPr>
            <w:tcW w:type="dxa" w:w="2209"/>
          </w:tcPr>
          <w:p>
            <w:r>
              <w:rPr>
                <w:sz w:val="20"/>
              </w:rPr>
              <w:t>Block 3</w:t>
            </w:r>
          </w:p>
        </w:tc>
        <w:tc>
          <w:tcPr>
            <w:tcW w:type="dxa" w:w="2209"/>
          </w:tcPr>
          <w:p>
            <w:r>
              <w:rPr>
                <w:sz w:val="20"/>
              </w:rPr>
              <w:t>Conv1d + BN + ReLU</w:t>
            </w:r>
          </w:p>
        </w:tc>
        <w:tc>
          <w:tcPr>
            <w:tcW w:type="dxa" w:w="2209"/>
          </w:tcPr>
          <w:p>
            <w:r>
              <w:rPr>
                <w:sz w:val="20"/>
              </w:rPr>
              <w:t>128通道, 卷积核3, 填充1</w:t>
            </w:r>
          </w:p>
        </w:tc>
        <w:tc>
          <w:tcPr>
            <w:tcW w:type="dxa" w:w="2209"/>
          </w:tcPr>
          <w:p>
            <w:r>
              <w:rPr>
                <w:sz w:val="20"/>
              </w:rPr>
              <w:t>(128, 7)</w:t>
            </w:r>
          </w:p>
        </w:tc>
      </w:tr>
      <w:tr>
        <w:tc>
          <w:tcPr>
            <w:tcW w:type="dxa" w:w="2209"/>
          </w:tcPr>
          <w:p>
            <w:r>
              <w:rPr>
                <w:sz w:val="20"/>
              </w:rPr>
            </w:r>
          </w:p>
        </w:tc>
        <w:tc>
          <w:tcPr>
            <w:tcW w:type="dxa" w:w="2209"/>
          </w:tcPr>
          <w:p>
            <w:r>
              <w:rPr>
                <w:sz w:val="20"/>
              </w:rPr>
              <w:t>MaxPool1d</w:t>
            </w:r>
          </w:p>
        </w:tc>
        <w:tc>
          <w:tcPr>
            <w:tcW w:type="dxa" w:w="2209"/>
          </w:tcPr>
          <w:p>
            <w:r>
              <w:rPr>
                <w:sz w:val="20"/>
              </w:rPr>
              <w:t>核大小2, 步长2</w:t>
            </w:r>
          </w:p>
        </w:tc>
        <w:tc>
          <w:tcPr>
            <w:tcW w:type="dxa" w:w="2209"/>
          </w:tcPr>
          <w:p>
            <w:r>
              <w:rPr>
                <w:sz w:val="20"/>
              </w:rPr>
              <w:t>(128, 3)</w:t>
            </w:r>
          </w:p>
        </w:tc>
      </w:tr>
      <w:tr>
        <w:tc>
          <w:tcPr>
            <w:tcW w:type="dxa" w:w="2209"/>
          </w:tcPr>
          <w:p>
            <w:r>
              <w:rPr>
                <w:sz w:val="20"/>
              </w:rPr>
              <w:t>Block 4</w:t>
            </w:r>
          </w:p>
        </w:tc>
        <w:tc>
          <w:tcPr>
            <w:tcW w:type="dxa" w:w="2209"/>
          </w:tcPr>
          <w:p>
            <w:r>
              <w:rPr>
                <w:sz w:val="20"/>
              </w:rPr>
              <w:t>Conv1d + BN + ReLU</w:t>
            </w:r>
          </w:p>
        </w:tc>
        <w:tc>
          <w:tcPr>
            <w:tcW w:type="dxa" w:w="2209"/>
          </w:tcPr>
          <w:p>
            <w:r>
              <w:rPr>
                <w:sz w:val="20"/>
              </w:rPr>
              <w:t>256通道, 卷积核3, 填充1</w:t>
            </w:r>
          </w:p>
        </w:tc>
        <w:tc>
          <w:tcPr>
            <w:tcW w:type="dxa" w:w="2209"/>
          </w:tcPr>
          <w:p>
            <w:r>
              <w:rPr>
                <w:sz w:val="20"/>
              </w:rPr>
              <w:t>(256, 3)</w:t>
            </w:r>
          </w:p>
        </w:tc>
      </w:tr>
      <w:tr>
        <w:tc>
          <w:tcPr>
            <w:tcW w:type="dxa" w:w="2209"/>
          </w:tcPr>
          <w:p>
            <w:r>
              <w:rPr>
                <w:sz w:val="20"/>
              </w:rPr>
            </w:r>
          </w:p>
        </w:tc>
        <w:tc>
          <w:tcPr>
            <w:tcW w:type="dxa" w:w="2209"/>
          </w:tcPr>
          <w:p>
            <w:r>
              <w:rPr>
                <w:sz w:val="20"/>
              </w:rPr>
              <w:t>AdaptiveMaxPool1d</w:t>
            </w:r>
          </w:p>
        </w:tc>
        <w:tc>
          <w:tcPr>
            <w:tcW w:type="dxa" w:w="2209"/>
          </w:tcPr>
          <w:p>
            <w:r>
              <w:rPr>
                <w:sz w:val="20"/>
              </w:rPr>
              <w:t>输出尺寸1</w:t>
            </w:r>
          </w:p>
        </w:tc>
        <w:tc>
          <w:tcPr>
            <w:tcW w:type="dxa" w:w="2209"/>
          </w:tcPr>
          <w:p>
            <w:r>
              <w:rPr>
                <w:sz w:val="20"/>
              </w:rPr>
              <w:t>(256, 1)</w:t>
            </w:r>
          </w:p>
        </w:tc>
      </w:tr>
      <w:tr>
        <w:tc>
          <w:tcPr>
            <w:tcW w:type="dxa" w:w="2209"/>
          </w:tcPr>
          <w:p>
            <w:r>
              <w:rPr>
                <w:sz w:val="20"/>
              </w:rPr>
              <w:t>分类器</w:t>
            </w:r>
          </w:p>
        </w:tc>
        <w:tc>
          <w:tcPr>
            <w:tcW w:type="dxa" w:w="2209"/>
          </w:tcPr>
          <w:p>
            <w:r>
              <w:rPr>
                <w:sz w:val="20"/>
              </w:rPr>
              <w:t>Dropout + Linear + ReLU</w:t>
            </w:r>
          </w:p>
        </w:tc>
        <w:tc>
          <w:tcPr>
            <w:tcW w:type="dxa" w:w="2209"/>
          </w:tcPr>
          <w:p>
            <w:r>
              <w:rPr>
                <w:sz w:val="20"/>
              </w:rPr>
              <w:t>256→128→4</w:t>
            </w:r>
          </w:p>
        </w:tc>
        <w:tc>
          <w:tcPr>
            <w:tcW w:type="dxa" w:w="2209"/>
          </w:tcPr>
          <w:p>
            <w:r>
              <w:rPr>
                <w:sz w:val="20"/>
              </w:rPr>
              <w:t>(4)</w:t>
            </w:r>
          </w:p>
        </w:tc>
      </w:tr>
    </w:tbl>
    <w:p>
      <w:pPr>
        <w:spacing w:line="440" w:lineRule="exact"/>
        <w:ind w:firstLine="420"/>
      </w:pPr>
      <w:r>
        <w:rPr>
          <w:rFonts w:ascii="宋体" w:hAnsi="宋体" w:eastAsia="宋体"/>
          <w:sz w:val="24"/>
        </w:rPr>
      </w:r>
    </w:p>
    <w:p>
      <w:pPr>
        <w:spacing w:line="440" w:lineRule="exact"/>
        <w:ind w:firstLine="420"/>
      </w:pPr>
      <w:r>
        <w:rPr>
          <w:rFonts w:ascii="宋体" w:hAnsi="宋体" w:eastAsia="宋体"/>
          <w:sz w:val="24"/>
        </w:rPr>
        <w:t>各层详细参数量如下表所示：</w:t>
      </w:r>
    </w:p>
    <w:tbl>
      <w:tblPr>
        <w:tblStyle w:val="LightGrid-Accent1"/>
        <w:tblW w:type="auto" w:w="0"/>
        <w:tblLook w:firstColumn="1" w:firstRow="1" w:lastColumn="0" w:lastRow="0" w:noHBand="0" w:noVBand="1" w:val="04A0"/>
      </w:tblPr>
      <w:tblGrid>
        <w:gridCol w:w="2946"/>
        <w:gridCol w:w="2946"/>
        <w:gridCol w:w="2946"/>
      </w:tblGrid>
      <w:tr>
        <w:tc>
          <w:tcPr>
            <w:tcW w:type="dxa" w:w="2946"/>
          </w:tcPr>
          <w:p>
            <w:r>
              <w:rPr>
                <w:b/>
                <w:sz w:val="20"/>
              </w:rPr>
              <w:t>层名称</w:t>
            </w:r>
          </w:p>
        </w:tc>
        <w:tc>
          <w:tcPr>
            <w:tcW w:type="dxa" w:w="2946"/>
          </w:tcPr>
          <w:p>
            <w:r>
              <w:rPr>
                <w:b/>
                <w:sz w:val="20"/>
              </w:rPr>
              <w:t>参数量</w:t>
            </w:r>
          </w:p>
        </w:tc>
        <w:tc>
          <w:tcPr>
            <w:tcW w:type="dxa" w:w="2946"/>
          </w:tcPr>
          <w:p>
            <w:r>
              <w:rPr>
                <w:b/>
                <w:sz w:val="20"/>
              </w:rPr>
              <w:t>权重形状</w:t>
            </w:r>
          </w:p>
        </w:tc>
      </w:tr>
      <w:tr>
        <w:tc>
          <w:tcPr>
            <w:tcW w:type="dxa" w:w="2946"/>
          </w:tcPr>
          <w:p>
            <w:r>
              <w:rPr>
                <w:sz w:val="20"/>
              </w:rPr>
              <w:t>Conv1d-1 (1→32, k=7)</w:t>
            </w:r>
          </w:p>
        </w:tc>
        <w:tc>
          <w:tcPr>
            <w:tcW w:type="dxa" w:w="2946"/>
          </w:tcPr>
          <w:p>
            <w:r>
              <w:rPr>
                <w:sz w:val="20"/>
              </w:rPr>
              <w:t>224</w:t>
            </w:r>
          </w:p>
        </w:tc>
        <w:tc>
          <w:tcPr>
            <w:tcW w:type="dxa" w:w="2946"/>
          </w:tcPr>
          <w:p>
            <w:r>
              <w:rPr>
                <w:sz w:val="20"/>
              </w:rPr>
              <w:t>[32, 1, 7]</w:t>
            </w:r>
          </w:p>
        </w:tc>
      </w:tr>
      <w:tr>
        <w:tc>
          <w:tcPr>
            <w:tcW w:type="dxa" w:w="2946"/>
          </w:tcPr>
          <w:p>
            <w:r>
              <w:rPr>
                <w:sz w:val="20"/>
              </w:rPr>
              <w:t>BatchNorm1d-1</w:t>
            </w:r>
          </w:p>
        </w:tc>
        <w:tc>
          <w:tcPr>
            <w:tcW w:type="dxa" w:w="2946"/>
          </w:tcPr>
          <w:p>
            <w:r>
              <w:rPr>
                <w:sz w:val="20"/>
              </w:rPr>
              <w:t>64</w:t>
            </w:r>
          </w:p>
        </w:tc>
        <w:tc>
          <w:tcPr>
            <w:tcW w:type="dxa" w:w="2946"/>
          </w:tcPr>
          <w:p>
            <w:r>
              <w:rPr>
                <w:sz w:val="20"/>
              </w:rPr>
              <w:t>[32], [32]</w:t>
            </w:r>
          </w:p>
        </w:tc>
      </w:tr>
      <w:tr>
        <w:tc>
          <w:tcPr>
            <w:tcW w:type="dxa" w:w="2946"/>
          </w:tcPr>
          <w:p>
            <w:r>
              <w:rPr>
                <w:sz w:val="20"/>
              </w:rPr>
              <w:t>Conv1d-2 (32→64, k=5)</w:t>
            </w:r>
          </w:p>
        </w:tc>
        <w:tc>
          <w:tcPr>
            <w:tcW w:type="dxa" w:w="2946"/>
          </w:tcPr>
          <w:p>
            <w:r>
              <w:rPr>
                <w:sz w:val="20"/>
              </w:rPr>
              <w:t>10,240</w:t>
            </w:r>
          </w:p>
        </w:tc>
        <w:tc>
          <w:tcPr>
            <w:tcW w:type="dxa" w:w="2946"/>
          </w:tcPr>
          <w:p>
            <w:r>
              <w:rPr>
                <w:sz w:val="20"/>
              </w:rPr>
              <w:t>[64, 32, 5]</w:t>
            </w:r>
          </w:p>
        </w:tc>
      </w:tr>
      <w:tr>
        <w:tc>
          <w:tcPr>
            <w:tcW w:type="dxa" w:w="2946"/>
          </w:tcPr>
          <w:p>
            <w:r>
              <w:rPr>
                <w:sz w:val="20"/>
              </w:rPr>
              <w:t>BatchNorm1d-2</w:t>
            </w:r>
          </w:p>
        </w:tc>
        <w:tc>
          <w:tcPr>
            <w:tcW w:type="dxa" w:w="2946"/>
          </w:tcPr>
          <w:p>
            <w:r>
              <w:rPr>
                <w:sz w:val="20"/>
              </w:rPr>
              <w:t>128</w:t>
            </w:r>
          </w:p>
        </w:tc>
        <w:tc>
          <w:tcPr>
            <w:tcW w:type="dxa" w:w="2946"/>
          </w:tcPr>
          <w:p>
            <w:r>
              <w:rPr>
                <w:sz w:val="20"/>
              </w:rPr>
              <w:t>[64], [64]</w:t>
            </w:r>
          </w:p>
        </w:tc>
      </w:tr>
      <w:tr>
        <w:tc>
          <w:tcPr>
            <w:tcW w:type="dxa" w:w="2946"/>
          </w:tcPr>
          <w:p>
            <w:r>
              <w:rPr>
                <w:sz w:val="20"/>
              </w:rPr>
              <w:t>Conv1d-3 (64→128, k=3)</w:t>
            </w:r>
          </w:p>
        </w:tc>
        <w:tc>
          <w:tcPr>
            <w:tcW w:type="dxa" w:w="2946"/>
          </w:tcPr>
          <w:p>
            <w:r>
              <w:rPr>
                <w:sz w:val="20"/>
              </w:rPr>
              <w:t>24,576</w:t>
            </w:r>
          </w:p>
        </w:tc>
        <w:tc>
          <w:tcPr>
            <w:tcW w:type="dxa" w:w="2946"/>
          </w:tcPr>
          <w:p>
            <w:r>
              <w:rPr>
                <w:sz w:val="20"/>
              </w:rPr>
              <w:t>[128, 64, 3]</w:t>
            </w:r>
          </w:p>
        </w:tc>
      </w:tr>
      <w:tr>
        <w:tc>
          <w:tcPr>
            <w:tcW w:type="dxa" w:w="2946"/>
          </w:tcPr>
          <w:p>
            <w:r>
              <w:rPr>
                <w:sz w:val="20"/>
              </w:rPr>
              <w:t>BatchNorm1d-3</w:t>
            </w:r>
          </w:p>
        </w:tc>
        <w:tc>
          <w:tcPr>
            <w:tcW w:type="dxa" w:w="2946"/>
          </w:tcPr>
          <w:p>
            <w:r>
              <w:rPr>
                <w:sz w:val="20"/>
              </w:rPr>
              <w:t>256</w:t>
            </w:r>
          </w:p>
        </w:tc>
        <w:tc>
          <w:tcPr>
            <w:tcW w:type="dxa" w:w="2946"/>
          </w:tcPr>
          <w:p>
            <w:r>
              <w:rPr>
                <w:sz w:val="20"/>
              </w:rPr>
              <w:t>[128], [128]</w:t>
            </w:r>
          </w:p>
        </w:tc>
      </w:tr>
      <w:tr>
        <w:tc>
          <w:tcPr>
            <w:tcW w:type="dxa" w:w="2946"/>
          </w:tcPr>
          <w:p>
            <w:r>
              <w:rPr>
                <w:sz w:val="20"/>
              </w:rPr>
              <w:t>Conv1d-4 (128→256, k=3)</w:t>
            </w:r>
          </w:p>
        </w:tc>
        <w:tc>
          <w:tcPr>
            <w:tcW w:type="dxa" w:w="2946"/>
          </w:tcPr>
          <w:p>
            <w:r>
              <w:rPr>
                <w:sz w:val="20"/>
              </w:rPr>
              <w:t>98,304</w:t>
            </w:r>
          </w:p>
        </w:tc>
        <w:tc>
          <w:tcPr>
            <w:tcW w:type="dxa" w:w="2946"/>
          </w:tcPr>
          <w:p>
            <w:r>
              <w:rPr>
                <w:sz w:val="20"/>
              </w:rPr>
              <w:t>[256, 128, 3]</w:t>
            </w:r>
          </w:p>
        </w:tc>
      </w:tr>
      <w:tr>
        <w:tc>
          <w:tcPr>
            <w:tcW w:type="dxa" w:w="2946"/>
          </w:tcPr>
          <w:p>
            <w:r>
              <w:rPr>
                <w:sz w:val="20"/>
              </w:rPr>
              <w:t>BatchNorm1d-4</w:t>
            </w:r>
          </w:p>
        </w:tc>
        <w:tc>
          <w:tcPr>
            <w:tcW w:type="dxa" w:w="2946"/>
          </w:tcPr>
          <w:p>
            <w:r>
              <w:rPr>
                <w:sz w:val="20"/>
              </w:rPr>
              <w:t>512</w:t>
            </w:r>
          </w:p>
        </w:tc>
        <w:tc>
          <w:tcPr>
            <w:tcW w:type="dxa" w:w="2946"/>
          </w:tcPr>
          <w:p>
            <w:r>
              <w:rPr>
                <w:sz w:val="20"/>
              </w:rPr>
              <w:t>[256], [256]</w:t>
            </w:r>
          </w:p>
        </w:tc>
      </w:tr>
      <w:tr>
        <w:tc>
          <w:tcPr>
            <w:tcW w:type="dxa" w:w="2946"/>
          </w:tcPr>
          <w:p>
            <w:r>
              <w:rPr>
                <w:sz w:val="20"/>
              </w:rPr>
              <w:t>Linear-1 (256→128)</w:t>
            </w:r>
          </w:p>
        </w:tc>
        <w:tc>
          <w:tcPr>
            <w:tcW w:type="dxa" w:w="2946"/>
          </w:tcPr>
          <w:p>
            <w:r>
              <w:rPr>
                <w:sz w:val="20"/>
              </w:rPr>
              <w:t>32,768</w:t>
            </w:r>
          </w:p>
        </w:tc>
        <w:tc>
          <w:tcPr>
            <w:tcW w:type="dxa" w:w="2946"/>
          </w:tcPr>
          <w:p>
            <w:r>
              <w:rPr>
                <w:sz w:val="20"/>
              </w:rPr>
              <w:t>[128, 256]</w:t>
            </w:r>
          </w:p>
        </w:tc>
      </w:tr>
      <w:tr>
        <w:tc>
          <w:tcPr>
            <w:tcW w:type="dxa" w:w="2946"/>
          </w:tcPr>
          <w:p>
            <w:r>
              <w:rPr>
                <w:sz w:val="20"/>
              </w:rPr>
              <w:t>Linear-2 (128→4)</w:t>
            </w:r>
          </w:p>
        </w:tc>
        <w:tc>
          <w:tcPr>
            <w:tcW w:type="dxa" w:w="2946"/>
          </w:tcPr>
          <w:p>
            <w:r>
              <w:rPr>
                <w:sz w:val="20"/>
              </w:rPr>
              <w:t>512</w:t>
            </w:r>
          </w:p>
        </w:tc>
        <w:tc>
          <w:tcPr>
            <w:tcW w:type="dxa" w:w="2946"/>
          </w:tcPr>
          <w:p>
            <w:r>
              <w:rPr>
                <w:sz w:val="20"/>
              </w:rPr>
              <w:t>[4, 128]</w:t>
            </w:r>
          </w:p>
        </w:tc>
      </w:tr>
    </w:tbl>
    <w:p>
      <w:pPr>
        <w:spacing w:line="440" w:lineRule="exact"/>
        <w:ind w:firstLine="420"/>
      </w:pPr>
      <w:r>
        <w:rPr>
          <w:rFonts w:ascii="宋体" w:hAnsi="宋体" w:eastAsia="宋体"/>
          <w:sz w:val="24"/>
        </w:rPr>
        <w:t>模型总参数量为168,196个，其中卷积层参数量占总参数的79.3%，全连接层占19.8%，批归一化层占0.9%。模型计算量适中，适合在CPU或GPU上高效运行。</w:t>
      </w:r>
    </w:p>
    <w:p>
      <w:pPr>
        <w:pStyle w:val="Heading2"/>
      </w:pPr>
      <w:r>
        <w:t>5.2 训练超参数配置</w:t>
      </w:r>
    </w:p>
    <w:tbl>
      <w:tblPr>
        <w:tblStyle w:val="LightGrid-Accent1"/>
        <w:tblW w:type="auto" w:w="0"/>
        <w:tblLook w:firstColumn="1" w:firstRow="1" w:lastColumn="0" w:lastRow="0" w:noHBand="0" w:noVBand="1" w:val="04A0"/>
      </w:tblPr>
      <w:tblGrid>
        <w:gridCol w:w="4419"/>
        <w:gridCol w:w="4419"/>
      </w:tblGrid>
      <w:tr>
        <w:tc>
          <w:tcPr>
            <w:tcW w:type="dxa" w:w="4419"/>
          </w:tcPr>
          <w:p>
            <w:r>
              <w:t>超参数</w:t>
            </w:r>
          </w:p>
        </w:tc>
        <w:tc>
          <w:tcPr>
            <w:tcW w:type="dxa" w:w="4419"/>
          </w:tcPr>
          <w:p>
            <w:r>
              <w:t>设置值</w:t>
            </w:r>
          </w:p>
        </w:tc>
      </w:tr>
      <w:tr>
        <w:tc>
          <w:tcPr>
            <w:tcW w:type="dxa" w:w="4419"/>
          </w:tcPr>
          <w:p>
            <w:r>
              <w:rPr>
                <w:sz w:val="22"/>
              </w:rPr>
              <w:t>优化器</w:t>
            </w:r>
          </w:p>
        </w:tc>
        <w:tc>
          <w:tcPr>
            <w:tcW w:type="dxa" w:w="4419"/>
          </w:tcPr>
          <w:p>
            <w:r>
              <w:rPr>
                <w:sz w:val="22"/>
              </w:rPr>
              <w:t>AdamW（初始学习率 lr=0.001, weight_decay=1e-4）</w:t>
            </w:r>
          </w:p>
        </w:tc>
      </w:tr>
      <w:tr>
        <w:tc>
          <w:tcPr>
            <w:tcW w:type="dxa" w:w="4419"/>
          </w:tcPr>
          <w:p>
            <w:r>
              <w:rPr>
                <w:sz w:val="22"/>
              </w:rPr>
              <w:t>损失函数</w:t>
            </w:r>
          </w:p>
        </w:tc>
        <w:tc>
          <w:tcPr>
            <w:tcW w:type="dxa" w:w="4419"/>
          </w:tcPr>
          <w:p>
            <w:r>
              <w:rPr>
                <w:sz w:val="22"/>
              </w:rPr>
              <w:t>交叉熵损失（CrossEntropyLoss）</w:t>
            </w:r>
          </w:p>
        </w:tc>
      </w:tr>
      <w:tr>
        <w:tc>
          <w:tcPr>
            <w:tcW w:type="dxa" w:w="4419"/>
          </w:tcPr>
          <w:p>
            <w:r>
              <w:rPr>
                <w:sz w:val="22"/>
              </w:rPr>
              <w:t>学习率调度</w:t>
            </w:r>
          </w:p>
        </w:tc>
        <w:tc>
          <w:tcPr>
            <w:tcW w:type="dxa" w:w="4419"/>
          </w:tcPr>
          <w:p>
            <w:r>
              <w:rPr>
                <w:sz w:val="22"/>
              </w:rPr>
              <w:t>余弦退火（CosineAnnealingLR, T_max=30）</w:t>
            </w:r>
          </w:p>
        </w:tc>
      </w:tr>
      <w:tr>
        <w:tc>
          <w:tcPr>
            <w:tcW w:type="dxa" w:w="4419"/>
          </w:tcPr>
          <w:p>
            <w:r>
              <w:rPr>
                <w:sz w:val="22"/>
              </w:rPr>
              <w:t>批大小（Batch Size）</w:t>
            </w:r>
          </w:p>
        </w:tc>
        <w:tc>
          <w:tcPr>
            <w:tcW w:type="dxa" w:w="4419"/>
          </w:tcPr>
          <w:p>
            <w:r>
              <w:rPr>
                <w:sz w:val="22"/>
              </w:rPr>
              <w:t>64</w:t>
            </w:r>
          </w:p>
        </w:tc>
      </w:tr>
      <w:tr>
        <w:tc>
          <w:tcPr>
            <w:tcW w:type="dxa" w:w="4419"/>
          </w:tcPr>
          <w:p>
            <w:r>
              <w:rPr>
                <w:sz w:val="22"/>
              </w:rPr>
              <w:t>训练轮数（Epochs）</w:t>
            </w:r>
          </w:p>
        </w:tc>
        <w:tc>
          <w:tcPr>
            <w:tcW w:type="dxa" w:w="4419"/>
          </w:tcPr>
          <w:p>
            <w:r>
              <w:rPr>
                <w:sz w:val="22"/>
              </w:rPr>
              <w:t>30</w:t>
            </w:r>
          </w:p>
        </w:tc>
      </w:tr>
      <w:tr>
        <w:tc>
          <w:tcPr>
            <w:tcW w:type="dxa" w:w="4419"/>
          </w:tcPr>
          <w:p>
            <w:r>
              <w:rPr>
                <w:sz w:val="22"/>
              </w:rPr>
              <w:t>数据集划分</w:t>
            </w:r>
          </w:p>
        </w:tc>
        <w:tc>
          <w:tcPr>
            <w:tcW w:type="dxa" w:w="4419"/>
          </w:tcPr>
          <w:p>
            <w:r>
              <w:rPr>
                <w:sz w:val="22"/>
              </w:rPr>
              <w:t>训练集 80% / 测试集 20%（分层抽样）</w:t>
            </w:r>
          </w:p>
        </w:tc>
      </w:tr>
      <w:tr>
        <w:tc>
          <w:tcPr>
            <w:tcW w:type="dxa" w:w="4419"/>
          </w:tcPr>
          <w:p>
            <w:r>
              <w:rPr>
                <w:sz w:val="22"/>
              </w:rPr>
              <w:t>随机种子（Seed）</w:t>
            </w:r>
          </w:p>
        </w:tc>
        <w:tc>
          <w:tcPr>
            <w:tcW w:type="dxa" w:w="4419"/>
          </w:tcPr>
          <w:p>
            <w:r>
              <w:rPr>
                <w:sz w:val="22"/>
              </w:rPr>
              <w:t>42（保证实验可重复性）</w:t>
            </w:r>
          </w:p>
        </w:tc>
      </w:tr>
    </w:tbl>
    <w:p>
      <w:pPr>
        <w:pStyle w:val="Heading1"/>
      </w:pPr>
      <w:r>
        <w:t>六、实验过程与结果</w:t>
      </w:r>
    </w:p>
    <w:p>
      <w:pPr>
        <w:pStyle w:val="Heading2"/>
      </w:pPr>
      <w:r>
        <w:t>6.1 训练过程</w:t>
      </w:r>
    </w:p>
    <w:p>
      <w:pPr>
        <w:spacing w:line="440" w:lineRule="exact"/>
        <w:ind w:firstLine="420"/>
      </w:pPr>
      <w:r>
        <w:rPr>
          <w:rFonts w:ascii="宋体" w:hAnsi="宋体" w:eastAsia="宋体"/>
          <w:sz w:val="24"/>
        </w:rPr>
        <w:t>模型使用训练集（80,000个样本）进行30轮迭代训练，每轮训练完成后在测试集（20,000个样本）上评估性能。训练过程中记录训练损失（Training Loss）、训练准确率（Training Accuracy）、测试损失（Testing Loss）和测试准确率（Testing Accuracy），并在测试准确率达到新高时保存模型权重参数。</w:t>
      </w:r>
    </w:p>
    <w:p>
      <w:pPr>
        <w:spacing w:line="440" w:lineRule="exact"/>
        <w:ind w:firstLine="420"/>
      </w:pPr>
      <w:r>
        <w:rPr>
          <w:rFonts w:ascii="宋体" w:hAnsi="宋体" w:eastAsia="宋体"/>
          <w:sz w:val="24"/>
        </w:rPr>
        <w:t>图3展示了训练过程中损失函数值和分类准确率的变化曲线。</w:t>
      </w:r>
    </w:p>
    <w:p>
      <w:pPr>
        <w:jc w:val="center"/>
      </w:pPr>
      <w:r>
        <w:drawing>
          <wp:inline xmlns:a="http://schemas.openxmlformats.org/drawingml/2006/main" xmlns:pic="http://schemas.openxmlformats.org/drawingml/2006/picture">
            <wp:extent cx="4754880" cy="1668218"/>
            <wp:docPr id="3" name="Picture 3"/>
            <wp:cNvGraphicFramePr>
              <a:graphicFrameLocks noChangeAspect="1"/>
            </wp:cNvGraphicFramePr>
            <a:graphic>
              <a:graphicData uri="http://schemas.openxmlformats.org/drawingml/2006/picture">
                <pic:pic>
                  <pic:nvPicPr>
                    <pic:cNvPr id="0" name="training_history.png"/>
                    <pic:cNvPicPr/>
                  </pic:nvPicPr>
                  <pic:blipFill>
                    <a:blip r:embed="rId11"/>
                    <a:stretch>
                      <a:fillRect/>
                    </a:stretch>
                  </pic:blipFill>
                  <pic:spPr>
                    <a:xfrm>
                      <a:off x="0" y="0"/>
                      <a:ext cx="4754880" cy="1668218"/>
                    </a:xfrm>
                    <a:prstGeom prst="rect"/>
                  </pic:spPr>
                </pic:pic>
              </a:graphicData>
            </a:graphic>
          </wp:inline>
        </w:drawing>
      </w:r>
    </w:p>
    <w:p>
      <w:pPr>
        <w:jc w:val="center"/>
      </w:pPr>
      <w:r>
        <w:rPr>
          <w:rFonts w:ascii="宋体" w:hAnsi="宋体" w:eastAsia="宋体"/>
          <w:sz w:val="20"/>
        </w:rPr>
        <w:t>图3 训练与测试损失曲线（左）及准确率曲线（右）</w:t>
      </w:r>
    </w:p>
    <w:p>
      <w:pPr>
        <w:spacing w:line="440" w:lineRule="exact"/>
        <w:ind w:firstLine="420"/>
      </w:pPr>
      <w:r>
        <w:rPr>
          <w:rFonts w:ascii="宋体" w:hAnsi="宋体" w:eastAsia="宋体"/>
          <w:sz w:val="24"/>
        </w:rPr>
        <w:t>从左图（损失曲线）可以看出：训练损失和测试损失均随训练轮次增加而稳步下降，并在约15个epoch后趋于平缓，说明模型有效学习了训练数据中的信号特征。训练损失与测试损失之间差距较小，表明模型未出现明显的过拟合现象。</w:t>
      </w:r>
    </w:p>
    <w:p>
      <w:pPr>
        <w:spacing w:line="440" w:lineRule="exact"/>
        <w:ind w:firstLine="420"/>
      </w:pPr>
      <w:r>
        <w:rPr>
          <w:rFonts w:ascii="宋体" w:hAnsi="宋体" w:eastAsia="宋体"/>
          <w:sz w:val="24"/>
        </w:rPr>
        <w:t>从右图（准确率曲线）可以看出：训练准确率和测试准确率均随训练轮次增加而持续上升，最终收敛至接近99%的高水平。测试准确率曲线与训练准确率曲线紧密贴合，进一步验证了模型的良好泛化能力。</w:t>
      </w:r>
    </w:p>
    <w:p>
      <w:pPr>
        <w:pStyle w:val="Heading2"/>
      </w:pPr>
      <w:r>
        <w:t>6.2 模型评估结果</w:t>
      </w:r>
    </w:p>
    <w:p>
      <w:pPr>
        <w:spacing w:line="440" w:lineRule="exact"/>
        <w:ind w:firstLine="420"/>
      </w:pPr>
      <w:r>
        <w:rPr>
          <w:rFonts w:ascii="宋体" w:hAnsi="宋体" w:eastAsia="宋体"/>
          <w:sz w:val="24"/>
        </w:rPr>
        <w:t>训练完成后，加载在测试集上表现最佳的模型权重，对测试集全部20,000个样本进行评估。模型最终总体准确率达到98.99%，表现出优异的分类性能。</w:t>
      </w:r>
    </w:p>
    <w:p>
      <w:pPr>
        <w:pStyle w:val="Heading3"/>
      </w:pPr>
      <w:r>
        <w:t>6.2.1 分类报告</w:t>
      </w:r>
    </w:p>
    <w:p>
      <w:pPr>
        <w:spacing w:line="440" w:lineRule="exact"/>
        <w:ind w:firstLine="420"/>
      </w:pPr>
      <w:r>
        <w:rPr>
          <w:rFonts w:ascii="宋体" w:hAnsi="宋体" w:eastAsia="宋体"/>
          <w:sz w:val="24"/>
        </w:rPr>
        <w:t>详细的分类评估指标如下表所示：</w:t>
      </w:r>
    </w:p>
    <w:tbl>
      <w:tblPr>
        <w:tblStyle w:val="LightGrid-Accent1"/>
        <w:tblW w:type="auto" w:w="0"/>
        <w:tblLook w:firstColumn="1" w:firstRow="1" w:lastColumn="0" w:lastRow="0" w:noHBand="0" w:noVBand="1" w:val="04A0"/>
      </w:tblPr>
      <w:tblGrid>
        <w:gridCol w:w="1768"/>
        <w:gridCol w:w="1768"/>
        <w:gridCol w:w="1768"/>
        <w:gridCol w:w="1768"/>
        <w:gridCol w:w="1768"/>
      </w:tblGrid>
      <w:tr>
        <w:tc>
          <w:tcPr>
            <w:tcW w:type="dxa" w:w="1768"/>
          </w:tcPr>
          <w:p>
            <w:r>
              <w:rPr>
                <w:b/>
                <w:sz w:val="20"/>
              </w:rPr>
              <w:t>类别</w:t>
            </w:r>
          </w:p>
        </w:tc>
        <w:tc>
          <w:tcPr>
            <w:tcW w:type="dxa" w:w="1768"/>
          </w:tcPr>
          <w:p>
            <w:r>
              <w:rPr>
                <w:b/>
                <w:sz w:val="20"/>
              </w:rPr>
              <w:t>精确率 (Precision)</w:t>
            </w:r>
          </w:p>
        </w:tc>
        <w:tc>
          <w:tcPr>
            <w:tcW w:type="dxa" w:w="1768"/>
          </w:tcPr>
          <w:p>
            <w:r>
              <w:rPr>
                <w:b/>
                <w:sz w:val="20"/>
              </w:rPr>
              <w:t>召回率 (Recall)</w:t>
            </w:r>
          </w:p>
        </w:tc>
        <w:tc>
          <w:tcPr>
            <w:tcW w:type="dxa" w:w="1768"/>
          </w:tcPr>
          <w:p>
            <w:r>
              <w:rPr>
                <w:b/>
                <w:sz w:val="20"/>
              </w:rPr>
              <w:t>F1分数</w:t>
            </w:r>
          </w:p>
        </w:tc>
        <w:tc>
          <w:tcPr>
            <w:tcW w:type="dxa" w:w="1768"/>
          </w:tcPr>
          <w:p>
            <w:r>
              <w:rPr>
                <w:b/>
                <w:sz w:val="20"/>
              </w:rPr>
              <w:t>支持样本数</w:t>
            </w:r>
          </w:p>
        </w:tc>
      </w:tr>
      <w:tr>
        <w:tc>
          <w:tcPr>
            <w:tcW w:type="dxa" w:w="1768"/>
          </w:tcPr>
          <w:p>
            <w:r>
              <w:rPr>
                <w:sz w:val="20"/>
              </w:rPr>
              <w:t>类别0（正常）</w:t>
            </w:r>
          </w:p>
        </w:tc>
        <w:tc>
          <w:tcPr>
            <w:tcW w:type="dxa" w:w="1768"/>
          </w:tcPr>
          <w:p>
            <w:r>
              <w:rPr>
                <w:sz w:val="20"/>
              </w:rPr>
              <w:t>0.99</w:t>
            </w:r>
          </w:p>
        </w:tc>
        <w:tc>
          <w:tcPr>
            <w:tcW w:type="dxa" w:w="1768"/>
          </w:tcPr>
          <w:p>
            <w:r>
              <w:rPr>
                <w:sz w:val="20"/>
              </w:rPr>
              <w:t>1.00</w:t>
            </w:r>
          </w:p>
        </w:tc>
        <w:tc>
          <w:tcPr>
            <w:tcW w:type="dxa" w:w="1768"/>
          </w:tcPr>
          <w:p>
            <w:r>
              <w:rPr>
                <w:sz w:val="20"/>
              </w:rPr>
              <w:t>0.99</w:t>
            </w:r>
          </w:p>
        </w:tc>
        <w:tc>
          <w:tcPr>
            <w:tcW w:type="dxa" w:w="1768"/>
          </w:tcPr>
          <w:p>
            <w:r>
              <w:rPr>
                <w:sz w:val="20"/>
              </w:rPr>
              <w:t>12,866</w:t>
            </w:r>
          </w:p>
        </w:tc>
      </w:tr>
      <w:tr>
        <w:tc>
          <w:tcPr>
            <w:tcW w:type="dxa" w:w="1768"/>
          </w:tcPr>
          <w:p>
            <w:r>
              <w:rPr>
                <w:sz w:val="20"/>
              </w:rPr>
              <w:t>类别1</w:t>
            </w:r>
          </w:p>
        </w:tc>
        <w:tc>
          <w:tcPr>
            <w:tcW w:type="dxa" w:w="1768"/>
          </w:tcPr>
          <w:p>
            <w:r>
              <w:rPr>
                <w:sz w:val="20"/>
              </w:rPr>
              <w:t>0.95</w:t>
            </w:r>
          </w:p>
        </w:tc>
        <w:tc>
          <w:tcPr>
            <w:tcW w:type="dxa" w:w="1768"/>
          </w:tcPr>
          <w:p>
            <w:r>
              <w:rPr>
                <w:sz w:val="20"/>
              </w:rPr>
              <w:t>0.86</w:t>
            </w:r>
          </w:p>
        </w:tc>
        <w:tc>
          <w:tcPr>
            <w:tcW w:type="dxa" w:w="1768"/>
          </w:tcPr>
          <w:p>
            <w:r>
              <w:rPr>
                <w:sz w:val="20"/>
              </w:rPr>
              <w:t>0.90</w:t>
            </w:r>
          </w:p>
        </w:tc>
        <w:tc>
          <w:tcPr>
            <w:tcW w:type="dxa" w:w="1768"/>
          </w:tcPr>
          <w:p>
            <w:r>
              <w:rPr>
                <w:sz w:val="20"/>
              </w:rPr>
              <w:t>712</w:t>
            </w:r>
          </w:p>
        </w:tc>
      </w:tr>
      <w:tr>
        <w:tc>
          <w:tcPr>
            <w:tcW w:type="dxa" w:w="1768"/>
          </w:tcPr>
          <w:p>
            <w:r>
              <w:rPr>
                <w:sz w:val="20"/>
              </w:rPr>
              <w:t>类别2</w:t>
            </w:r>
          </w:p>
        </w:tc>
        <w:tc>
          <w:tcPr>
            <w:tcW w:type="dxa" w:w="1768"/>
          </w:tcPr>
          <w:p>
            <w:r>
              <w:rPr>
                <w:sz w:val="20"/>
              </w:rPr>
              <w:t>0.99</w:t>
            </w:r>
          </w:p>
        </w:tc>
        <w:tc>
          <w:tcPr>
            <w:tcW w:type="dxa" w:w="1768"/>
          </w:tcPr>
          <w:p>
            <w:r>
              <w:rPr>
                <w:sz w:val="20"/>
              </w:rPr>
              <w:t>0.99</w:t>
            </w:r>
          </w:p>
        </w:tc>
        <w:tc>
          <w:tcPr>
            <w:tcW w:type="dxa" w:w="1768"/>
          </w:tcPr>
          <w:p>
            <w:r>
              <w:rPr>
                <w:sz w:val="20"/>
              </w:rPr>
              <w:t>0.99</w:t>
            </w:r>
          </w:p>
        </w:tc>
        <w:tc>
          <w:tcPr>
            <w:tcW w:type="dxa" w:w="1768"/>
          </w:tcPr>
          <w:p>
            <w:r>
              <w:rPr>
                <w:sz w:val="20"/>
              </w:rPr>
              <w:t>2,840</w:t>
            </w:r>
          </w:p>
        </w:tc>
      </w:tr>
      <w:tr>
        <w:tc>
          <w:tcPr>
            <w:tcW w:type="dxa" w:w="1768"/>
          </w:tcPr>
          <w:p>
            <w:r>
              <w:rPr>
                <w:sz w:val="20"/>
              </w:rPr>
              <w:t>类别3</w:t>
            </w:r>
          </w:p>
        </w:tc>
        <w:tc>
          <w:tcPr>
            <w:tcW w:type="dxa" w:w="1768"/>
          </w:tcPr>
          <w:p>
            <w:r>
              <w:rPr>
                <w:sz w:val="20"/>
              </w:rPr>
              <w:t>1.00</w:t>
            </w:r>
          </w:p>
        </w:tc>
        <w:tc>
          <w:tcPr>
            <w:tcW w:type="dxa" w:w="1768"/>
          </w:tcPr>
          <w:p>
            <w:r>
              <w:rPr>
                <w:sz w:val="20"/>
              </w:rPr>
              <w:t>1.00</w:t>
            </w:r>
          </w:p>
        </w:tc>
        <w:tc>
          <w:tcPr>
            <w:tcW w:type="dxa" w:w="1768"/>
          </w:tcPr>
          <w:p>
            <w:r>
              <w:rPr>
                <w:sz w:val="20"/>
              </w:rPr>
              <w:t>1.00</w:t>
            </w:r>
          </w:p>
        </w:tc>
        <w:tc>
          <w:tcPr>
            <w:tcW w:type="dxa" w:w="1768"/>
          </w:tcPr>
          <w:p>
            <w:r>
              <w:rPr>
                <w:sz w:val="20"/>
              </w:rPr>
              <w:t>3,582</w:t>
            </w:r>
          </w:p>
        </w:tc>
      </w:tr>
      <w:tr>
        <w:tc>
          <w:tcPr>
            <w:tcW w:type="dxa" w:w="1768"/>
          </w:tcPr>
          <w:p>
            <w:r>
              <w:rPr>
                <w:sz w:val="20"/>
              </w:rPr>
              <w:t>加权平均</w:t>
            </w:r>
          </w:p>
        </w:tc>
        <w:tc>
          <w:tcPr>
            <w:tcW w:type="dxa" w:w="1768"/>
          </w:tcPr>
          <w:p>
            <w:r>
              <w:rPr>
                <w:sz w:val="20"/>
              </w:rPr>
              <w:t>0.99</w:t>
            </w:r>
          </w:p>
        </w:tc>
        <w:tc>
          <w:tcPr>
            <w:tcW w:type="dxa" w:w="1768"/>
          </w:tcPr>
          <w:p>
            <w:r>
              <w:rPr>
                <w:sz w:val="20"/>
              </w:rPr>
              <w:t>0.99</w:t>
            </w:r>
          </w:p>
        </w:tc>
        <w:tc>
          <w:tcPr>
            <w:tcW w:type="dxa" w:w="1768"/>
          </w:tcPr>
          <w:p>
            <w:r>
              <w:rPr>
                <w:sz w:val="20"/>
              </w:rPr>
              <w:t>0.99</w:t>
            </w:r>
          </w:p>
        </w:tc>
        <w:tc>
          <w:tcPr>
            <w:tcW w:type="dxa" w:w="1768"/>
          </w:tcPr>
          <w:p>
            <w:r>
              <w:rPr>
                <w:sz w:val="20"/>
              </w:rPr>
              <w:t>20,000</w:t>
            </w:r>
          </w:p>
        </w:tc>
      </w:tr>
    </w:tbl>
    <w:p>
      <w:pPr>
        <w:spacing w:line="440" w:lineRule="exact"/>
        <w:ind w:firstLine="420"/>
      </w:pPr>
      <w:r>
        <w:rPr>
          <w:rFonts w:ascii="宋体" w:hAnsi="宋体" w:eastAsia="宋体"/>
          <w:sz w:val="24"/>
        </w:rPr>
        <w:t>宏观平均指标（Macro Average）：精确率 0.98，召回率 0.96，F1分数 0.97。</w:t>
      </w:r>
    </w:p>
    <w:p>
      <w:pPr>
        <w:spacing w:line="440" w:lineRule="exact"/>
        <w:ind w:firstLine="420"/>
      </w:pPr>
      <w:r>
        <w:rPr>
          <w:rFonts w:ascii="宋体" w:hAnsi="宋体" w:eastAsia="宋体"/>
          <w:sz w:val="24"/>
        </w:rPr>
        <w:t>加权平均指标（Weighted Average）：精确率 0.99，召回率 0.99，F1分数 0.99。</w:t>
      </w:r>
    </w:p>
    <w:p>
      <w:pPr>
        <w:pStyle w:val="Heading3"/>
      </w:pPr>
      <w:r>
        <w:t>6.2.2 混淆矩阵</w:t>
      </w:r>
    </w:p>
    <w:p>
      <w:pPr>
        <w:spacing w:line="440" w:lineRule="exact"/>
        <w:ind w:firstLine="420"/>
      </w:pPr>
      <w:r>
        <w:rPr>
          <w:rFonts w:ascii="宋体" w:hAnsi="宋体" w:eastAsia="宋体"/>
          <w:sz w:val="24"/>
        </w:rPr>
        <w:t>图4展示了测试集上的混淆矩阵，以热力图形式呈现模型在各个类别上的预测结果分布情况。</w:t>
      </w:r>
    </w:p>
    <w:p>
      <w:pPr>
        <w:jc w:val="center"/>
      </w:pPr>
      <w:r>
        <w:drawing>
          <wp:inline xmlns:a="http://schemas.openxmlformats.org/drawingml/2006/main" xmlns:pic="http://schemas.openxmlformats.org/drawingml/2006/picture">
            <wp:extent cx="3840480" cy="2996531"/>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3840480" cy="2996531"/>
                    </a:xfrm>
                    <a:prstGeom prst="rect"/>
                  </pic:spPr>
                </pic:pic>
              </a:graphicData>
            </a:graphic>
          </wp:inline>
        </w:drawing>
      </w:r>
    </w:p>
    <w:p>
      <w:pPr>
        <w:jc w:val="center"/>
      </w:pPr>
      <w:r>
        <w:rPr>
          <w:rFonts w:ascii="宋体" w:hAnsi="宋体" w:eastAsia="宋体"/>
          <w:sz w:val="20"/>
        </w:rPr>
        <w:t>图4 混淆矩阵</w:t>
      </w:r>
    </w:p>
    <w:p>
      <w:pPr>
        <w:spacing w:line="440" w:lineRule="exact"/>
        <w:ind w:firstLine="420"/>
      </w:pPr>
      <w:r>
        <w:rPr>
          <w:rFonts w:ascii="宋体" w:hAnsi="宋体" w:eastAsia="宋体"/>
          <w:sz w:val="24"/>
        </w:rPr>
        <w:t>混淆矩阵的具体数值如下表所示：</w:t>
      </w:r>
    </w:p>
    <w:tbl>
      <w:tblPr>
        <w:tblStyle w:val="LightGrid-Accent1"/>
        <w:tblW w:type="auto" w:w="0"/>
        <w:tblLook w:firstColumn="1" w:firstRow="1" w:lastColumn="0" w:lastRow="0" w:noHBand="0" w:noVBand="1" w:val="04A0"/>
      </w:tblPr>
      <w:tblGrid>
        <w:gridCol w:w="1768"/>
        <w:gridCol w:w="1768"/>
        <w:gridCol w:w="1768"/>
        <w:gridCol w:w="1768"/>
        <w:gridCol w:w="1768"/>
      </w:tblGrid>
      <w:tr>
        <w:tc>
          <w:tcPr>
            <w:tcW w:type="dxa" w:w="1768"/>
          </w:tcPr>
          <w:p>
            <w:r>
              <w:rPr>
                <w:sz w:val="20"/>
              </w:rPr>
              <w:t>真实标签 ↓ → 预测标签 →</w:t>
            </w:r>
          </w:p>
        </w:tc>
        <w:tc>
          <w:tcPr>
            <w:tcW w:type="dxa" w:w="1768"/>
          </w:tcPr>
          <w:p>
            <w:r>
              <w:rPr>
                <w:sz w:val="20"/>
              </w:rPr>
              <w:t>类别0</w:t>
            </w:r>
          </w:p>
        </w:tc>
        <w:tc>
          <w:tcPr>
            <w:tcW w:type="dxa" w:w="1768"/>
          </w:tcPr>
          <w:p>
            <w:r>
              <w:rPr>
                <w:sz w:val="20"/>
              </w:rPr>
              <w:t>类别1</w:t>
            </w:r>
          </w:p>
        </w:tc>
        <w:tc>
          <w:tcPr>
            <w:tcW w:type="dxa" w:w="1768"/>
          </w:tcPr>
          <w:p>
            <w:r>
              <w:rPr>
                <w:sz w:val="20"/>
              </w:rPr>
              <w:t>类别2</w:t>
            </w:r>
          </w:p>
        </w:tc>
        <w:tc>
          <w:tcPr>
            <w:tcW w:type="dxa" w:w="1768"/>
          </w:tcPr>
          <w:p>
            <w:r>
              <w:rPr>
                <w:sz w:val="20"/>
              </w:rPr>
              <w:t>类别3</w:t>
            </w:r>
          </w:p>
        </w:tc>
      </w:tr>
      <w:tr>
        <w:tc>
          <w:tcPr>
            <w:tcW w:type="dxa" w:w="1768"/>
          </w:tcPr>
          <w:p>
            <w:r>
              <w:rPr>
                <w:sz w:val="20"/>
              </w:rPr>
              <w:t>类别0</w:t>
            </w:r>
          </w:p>
        </w:tc>
        <w:tc>
          <w:tcPr>
            <w:tcW w:type="dxa" w:w="1768"/>
          </w:tcPr>
          <w:p>
            <w:r>
              <w:rPr>
                <w:sz w:val="20"/>
              </w:rPr>
              <w:t>12816</w:t>
            </w:r>
          </w:p>
        </w:tc>
        <w:tc>
          <w:tcPr>
            <w:tcW w:type="dxa" w:w="1768"/>
          </w:tcPr>
          <w:p>
            <w:r>
              <w:rPr>
                <w:sz w:val="20"/>
              </w:rPr>
              <w:t>24</w:t>
            </w:r>
          </w:p>
        </w:tc>
        <w:tc>
          <w:tcPr>
            <w:tcW w:type="dxa" w:w="1768"/>
          </w:tcPr>
          <w:p>
            <w:r>
              <w:rPr>
                <w:sz w:val="20"/>
              </w:rPr>
              <w:t>20</w:t>
            </w:r>
          </w:p>
        </w:tc>
        <w:tc>
          <w:tcPr>
            <w:tcW w:type="dxa" w:w="1768"/>
          </w:tcPr>
          <w:p>
            <w:r>
              <w:rPr>
                <w:sz w:val="20"/>
              </w:rPr>
              <w:t>6</w:t>
            </w:r>
          </w:p>
        </w:tc>
      </w:tr>
      <w:tr>
        <w:tc>
          <w:tcPr>
            <w:tcW w:type="dxa" w:w="1768"/>
          </w:tcPr>
          <w:p>
            <w:r>
              <w:rPr>
                <w:sz w:val="20"/>
              </w:rPr>
              <w:t>类别1</w:t>
            </w:r>
          </w:p>
        </w:tc>
        <w:tc>
          <w:tcPr>
            <w:tcW w:type="dxa" w:w="1768"/>
          </w:tcPr>
          <w:p>
            <w:r>
              <w:rPr>
                <w:sz w:val="20"/>
              </w:rPr>
              <w:t>101</w:t>
            </w:r>
          </w:p>
        </w:tc>
        <w:tc>
          <w:tcPr>
            <w:tcW w:type="dxa" w:w="1768"/>
          </w:tcPr>
          <w:p>
            <w:r>
              <w:rPr>
                <w:sz w:val="20"/>
              </w:rPr>
              <w:t>610</w:t>
            </w:r>
          </w:p>
        </w:tc>
        <w:tc>
          <w:tcPr>
            <w:tcW w:type="dxa" w:w="1768"/>
          </w:tcPr>
          <w:p>
            <w:r>
              <w:rPr>
                <w:sz w:val="20"/>
              </w:rPr>
              <w:t>1</w:t>
            </w:r>
          </w:p>
        </w:tc>
        <w:tc>
          <w:tcPr>
            <w:tcW w:type="dxa" w:w="1768"/>
          </w:tcPr>
          <w:p>
            <w:r>
              <w:rPr>
                <w:sz w:val="20"/>
              </w:rPr>
              <w:t>0</w:t>
            </w:r>
          </w:p>
        </w:tc>
      </w:tr>
      <w:tr>
        <w:tc>
          <w:tcPr>
            <w:tcW w:type="dxa" w:w="1768"/>
          </w:tcPr>
          <w:p>
            <w:r>
              <w:rPr>
                <w:sz w:val="20"/>
              </w:rPr>
              <w:t>类别2</w:t>
            </w:r>
          </w:p>
        </w:tc>
        <w:tc>
          <w:tcPr>
            <w:tcW w:type="dxa" w:w="1768"/>
          </w:tcPr>
          <w:p>
            <w:r>
              <w:rPr>
                <w:sz w:val="20"/>
              </w:rPr>
              <w:t>32</w:t>
            </w:r>
          </w:p>
        </w:tc>
        <w:tc>
          <w:tcPr>
            <w:tcW w:type="dxa" w:w="1768"/>
          </w:tcPr>
          <w:p>
            <w:r>
              <w:rPr>
                <w:sz w:val="20"/>
              </w:rPr>
              <w:t>5</w:t>
            </w:r>
          </w:p>
        </w:tc>
        <w:tc>
          <w:tcPr>
            <w:tcW w:type="dxa" w:w="1768"/>
          </w:tcPr>
          <w:p>
            <w:r>
              <w:rPr>
                <w:sz w:val="20"/>
              </w:rPr>
              <w:t>2799</w:t>
            </w:r>
          </w:p>
        </w:tc>
        <w:tc>
          <w:tcPr>
            <w:tcW w:type="dxa" w:w="1768"/>
          </w:tcPr>
          <w:p>
            <w:r>
              <w:rPr>
                <w:sz w:val="20"/>
              </w:rPr>
              <w:t>4</w:t>
            </w:r>
          </w:p>
        </w:tc>
      </w:tr>
      <w:tr>
        <w:tc>
          <w:tcPr>
            <w:tcW w:type="dxa" w:w="1768"/>
          </w:tcPr>
          <w:p>
            <w:r>
              <w:rPr>
                <w:sz w:val="20"/>
              </w:rPr>
              <w:t>类别3</w:t>
            </w:r>
          </w:p>
        </w:tc>
        <w:tc>
          <w:tcPr>
            <w:tcW w:type="dxa" w:w="1768"/>
          </w:tcPr>
          <w:p>
            <w:r>
              <w:rPr>
                <w:sz w:val="20"/>
              </w:rPr>
              <w:t>7</w:t>
            </w:r>
          </w:p>
        </w:tc>
        <w:tc>
          <w:tcPr>
            <w:tcW w:type="dxa" w:w="1768"/>
          </w:tcPr>
          <w:p>
            <w:r>
              <w:rPr>
                <w:sz w:val="20"/>
              </w:rPr>
              <w:t>0</w:t>
            </w:r>
          </w:p>
        </w:tc>
        <w:tc>
          <w:tcPr>
            <w:tcW w:type="dxa" w:w="1768"/>
          </w:tcPr>
          <w:p>
            <w:r>
              <w:rPr>
                <w:sz w:val="20"/>
              </w:rPr>
              <w:t>2</w:t>
            </w:r>
          </w:p>
        </w:tc>
        <w:tc>
          <w:tcPr>
            <w:tcW w:type="dxa" w:w="1768"/>
          </w:tcPr>
          <w:p>
            <w:r>
              <w:rPr>
                <w:sz w:val="20"/>
              </w:rPr>
              <w:t>3573</w:t>
            </w:r>
          </w:p>
        </w:tc>
      </w:tr>
    </w:tbl>
    <w:p>
      <w:pPr>
        <w:spacing w:line="440" w:lineRule="exact"/>
        <w:ind w:firstLine="420"/>
      </w:pPr>
      <w:r>
        <w:rPr>
          <w:rFonts w:ascii="宋体" w:hAnsi="宋体" w:eastAsia="宋体"/>
          <w:sz w:val="24"/>
        </w:rPr>
      </w:r>
    </w:p>
    <w:p>
      <w:pPr>
        <w:pStyle w:val="Heading3"/>
      </w:pPr>
      <w:r>
        <w:t>6.2.3 各类别分类性能分析</w:t>
      </w:r>
    </w:p>
    <w:p>
      <w:pPr>
        <w:spacing w:line="440" w:lineRule="exact"/>
        <w:ind w:firstLine="420"/>
      </w:pPr>
      <w:r>
        <w:rPr>
          <w:rFonts w:ascii="宋体" w:hAnsi="宋体" w:eastAsia="宋体"/>
          <w:sz w:val="24"/>
        </w:rPr>
        <w:t>从混淆矩阵和分类报告可以得出各类别的分类性能分析如下：</w:t>
      </w:r>
    </w:p>
    <w:tbl>
      <w:tblPr>
        <w:tblStyle w:val="LightGrid-Accent1"/>
        <w:tblW w:type="auto" w:w="0"/>
        <w:tblLook w:firstColumn="1" w:firstRow="1" w:lastColumn="0" w:lastRow="0" w:noHBand="0" w:noVBand="1" w:val="04A0"/>
      </w:tblPr>
      <w:tblGrid>
        <w:gridCol w:w="2209"/>
        <w:gridCol w:w="2209"/>
        <w:gridCol w:w="2209"/>
        <w:gridCol w:w="2209"/>
      </w:tblGrid>
      <w:tr>
        <w:tc>
          <w:tcPr>
            <w:tcW w:type="dxa" w:w="2209"/>
          </w:tcPr>
          <w:p>
            <w:r>
              <w:rPr>
                <w:b/>
                <w:sz w:val="20"/>
              </w:rPr>
              <w:t>类别</w:t>
            </w:r>
          </w:p>
        </w:tc>
        <w:tc>
          <w:tcPr>
            <w:tcW w:type="dxa" w:w="2209"/>
          </w:tcPr>
          <w:p>
            <w:r>
              <w:rPr>
                <w:b/>
                <w:sz w:val="20"/>
              </w:rPr>
              <w:t>准确率</w:t>
            </w:r>
          </w:p>
        </w:tc>
        <w:tc>
          <w:tcPr>
            <w:tcW w:type="dxa" w:w="2209"/>
          </w:tcPr>
          <w:p>
            <w:r>
              <w:rPr>
                <w:b/>
                <w:sz w:val="20"/>
              </w:rPr>
              <w:t>误分类数/总样本</w:t>
            </w:r>
          </w:p>
        </w:tc>
        <w:tc>
          <w:tcPr>
            <w:tcW w:type="dxa" w:w="2209"/>
          </w:tcPr>
          <w:p>
            <w:r>
              <w:rPr>
                <w:b/>
                <w:sz w:val="20"/>
              </w:rPr>
              <w:t>主要误分类方向</w:t>
            </w:r>
          </w:p>
        </w:tc>
      </w:tr>
      <w:tr>
        <w:tc>
          <w:tcPr>
            <w:tcW w:type="dxa" w:w="2209"/>
          </w:tcPr>
          <w:p>
            <w:r>
              <w:rPr>
                <w:sz w:val="20"/>
              </w:rPr>
              <w:t>类别0（正常）</w:t>
            </w:r>
          </w:p>
        </w:tc>
        <w:tc>
          <w:tcPr>
            <w:tcW w:type="dxa" w:w="2209"/>
          </w:tcPr>
          <w:p>
            <w:r>
              <w:rPr>
                <w:sz w:val="20"/>
              </w:rPr>
              <w:t>99.61%</w:t>
            </w:r>
          </w:p>
        </w:tc>
        <w:tc>
          <w:tcPr>
            <w:tcW w:type="dxa" w:w="2209"/>
          </w:tcPr>
          <w:p>
            <w:r>
              <w:rPr>
                <w:sz w:val="20"/>
              </w:rPr>
              <w:t>50 / 12,866</w:t>
            </w:r>
          </w:p>
        </w:tc>
        <w:tc>
          <w:tcPr>
            <w:tcW w:type="dxa" w:w="2209"/>
          </w:tcPr>
          <w:p>
            <w:r>
              <w:rPr>
                <w:sz w:val="20"/>
              </w:rPr>
              <w:t>24→类别1, 20→类别2, 6→类别3</w:t>
            </w:r>
          </w:p>
        </w:tc>
      </w:tr>
      <w:tr>
        <w:tc>
          <w:tcPr>
            <w:tcW w:type="dxa" w:w="2209"/>
          </w:tcPr>
          <w:p>
            <w:r>
              <w:rPr>
                <w:sz w:val="20"/>
              </w:rPr>
              <w:t>类别1</w:t>
            </w:r>
          </w:p>
        </w:tc>
        <w:tc>
          <w:tcPr>
            <w:tcW w:type="dxa" w:w="2209"/>
          </w:tcPr>
          <w:p>
            <w:r>
              <w:rPr>
                <w:sz w:val="20"/>
              </w:rPr>
              <w:t>85.67%</w:t>
            </w:r>
          </w:p>
        </w:tc>
        <w:tc>
          <w:tcPr>
            <w:tcW w:type="dxa" w:w="2209"/>
          </w:tcPr>
          <w:p>
            <w:r>
              <w:rPr>
                <w:sz w:val="20"/>
              </w:rPr>
              <w:t>102 / 712</w:t>
            </w:r>
          </w:p>
        </w:tc>
        <w:tc>
          <w:tcPr>
            <w:tcW w:type="dxa" w:w="2209"/>
          </w:tcPr>
          <w:p>
            <w:r>
              <w:rPr>
                <w:sz w:val="20"/>
              </w:rPr>
              <w:t>101→类别0, 1→类别2</w:t>
            </w:r>
          </w:p>
        </w:tc>
      </w:tr>
      <w:tr>
        <w:tc>
          <w:tcPr>
            <w:tcW w:type="dxa" w:w="2209"/>
          </w:tcPr>
          <w:p>
            <w:r>
              <w:rPr>
                <w:sz w:val="20"/>
              </w:rPr>
              <w:t>类别2</w:t>
            </w:r>
          </w:p>
        </w:tc>
        <w:tc>
          <w:tcPr>
            <w:tcW w:type="dxa" w:w="2209"/>
          </w:tcPr>
          <w:p>
            <w:r>
              <w:rPr>
                <w:sz w:val="20"/>
              </w:rPr>
              <w:t>98.56%</w:t>
            </w:r>
          </w:p>
        </w:tc>
        <w:tc>
          <w:tcPr>
            <w:tcW w:type="dxa" w:w="2209"/>
          </w:tcPr>
          <w:p>
            <w:r>
              <w:rPr>
                <w:sz w:val="20"/>
              </w:rPr>
              <w:t>41 / 2,840</w:t>
            </w:r>
          </w:p>
        </w:tc>
        <w:tc>
          <w:tcPr>
            <w:tcW w:type="dxa" w:w="2209"/>
          </w:tcPr>
          <w:p>
            <w:r>
              <w:rPr>
                <w:sz w:val="20"/>
              </w:rPr>
              <w:t>32→类别0, 5→类别1, 4→类别3</w:t>
            </w:r>
          </w:p>
        </w:tc>
      </w:tr>
      <w:tr>
        <w:tc>
          <w:tcPr>
            <w:tcW w:type="dxa" w:w="2209"/>
          </w:tcPr>
          <w:p>
            <w:r>
              <w:rPr>
                <w:sz w:val="20"/>
              </w:rPr>
              <w:t>类别3</w:t>
            </w:r>
          </w:p>
        </w:tc>
        <w:tc>
          <w:tcPr>
            <w:tcW w:type="dxa" w:w="2209"/>
          </w:tcPr>
          <w:p>
            <w:r>
              <w:rPr>
                <w:sz w:val="20"/>
              </w:rPr>
              <w:t>99.75%</w:t>
            </w:r>
          </w:p>
        </w:tc>
        <w:tc>
          <w:tcPr>
            <w:tcW w:type="dxa" w:w="2209"/>
          </w:tcPr>
          <w:p>
            <w:r>
              <w:rPr>
                <w:sz w:val="20"/>
              </w:rPr>
              <w:t>9 / 3,582</w:t>
            </w:r>
          </w:p>
        </w:tc>
        <w:tc>
          <w:tcPr>
            <w:tcW w:type="dxa" w:w="2209"/>
          </w:tcPr>
          <w:p>
            <w:r>
              <w:rPr>
                <w:sz w:val="20"/>
              </w:rPr>
              <w:t>7→类别0, 2→类别2</w:t>
            </w:r>
          </w:p>
        </w:tc>
      </w:tr>
    </w:tbl>
    <w:p>
      <w:pPr>
        <w:spacing w:line="440" w:lineRule="exact"/>
        <w:ind w:firstLine="420"/>
      </w:pPr>
      <w:r>
        <w:rPr>
          <w:rFonts w:ascii="宋体" w:hAnsi="宋体" w:eastAsia="宋体"/>
          <w:sz w:val="24"/>
        </w:rPr>
      </w:r>
    </w:p>
    <w:p>
      <w:pPr>
        <w:spacing w:line="440" w:lineRule="exact"/>
        <w:ind w:firstLine="420"/>
      </w:pPr>
      <w:r>
        <w:rPr>
          <w:rFonts w:ascii="宋体" w:hAnsi="宋体" w:eastAsia="宋体"/>
          <w:sz w:val="24"/>
        </w:rPr>
        <w:t>从混淆矩阵可以得出以下关键观察：</w:t>
      </w:r>
    </w:p>
    <w:p>
      <w:pPr>
        <w:pStyle w:val="ListBullet"/>
        <w:spacing w:line="440" w:lineRule="exact"/>
      </w:pPr>
      <w:r>
        <w:rPr>
          <w:rFonts w:ascii="宋体" w:hAnsi="宋体" w:eastAsia="宋体"/>
          <w:sz w:val="24"/>
        </w:rPr>
        <w:t>类别0（正常心跳）的分类准确率为99.61%，绝大部分样本被正确分类，模型对正常信号的识别能力很强。</w:t>
      </w:r>
    </w:p>
    <w:p>
      <w:pPr>
        <w:pStyle w:val="ListBullet"/>
        <w:spacing w:line="440" w:lineRule="exact"/>
      </w:pPr>
      <w:r>
        <w:rPr>
          <w:rFonts w:ascii="宋体" w:hAnsi="宋体" w:eastAsia="宋体"/>
          <w:sz w:val="24"/>
        </w:rPr>
        <w:t>类别1的分类准确率为85.67%，是四个类别中性能最低的。其主要误分类方向是类别0（101个样本被误判为正常），占总误分类的99%，这主要是因为类别1的训练样本极少（仅3,562个），模型难以充分学习其区别于正常信号的特征。</w:t>
      </w:r>
    </w:p>
    <w:p>
      <w:pPr>
        <w:pStyle w:val="ListBullet"/>
        <w:spacing w:line="440" w:lineRule="exact"/>
      </w:pPr>
      <w:r>
        <w:rPr>
          <w:rFonts w:ascii="宋体" w:hAnsi="宋体" w:eastAsia="宋体"/>
          <w:sz w:val="24"/>
        </w:rPr>
        <w:t>类别2的分类准确率为98.56%，性能良好，32个样本被误判为类别0。</w:t>
      </w:r>
    </w:p>
    <w:p>
      <w:pPr>
        <w:pStyle w:val="ListBullet"/>
        <w:spacing w:line="440" w:lineRule="exact"/>
      </w:pPr>
      <w:r>
        <w:rPr>
          <w:rFonts w:ascii="宋体" w:hAnsi="宋体" w:eastAsia="宋体"/>
          <w:sz w:val="24"/>
        </w:rPr>
        <w:t>类别3的分类准确率最高（99.75%），表明该类别的信号特征最为独特、易于区分。</w:t>
      </w:r>
    </w:p>
    <w:p>
      <w:pPr>
        <w:pStyle w:val="ListBullet"/>
        <w:spacing w:line="440" w:lineRule="exact"/>
      </w:pPr>
      <w:r>
        <w:rPr>
          <w:rFonts w:ascii="宋体" w:hAnsi="宋体" w:eastAsia="宋体"/>
          <w:sz w:val="24"/>
        </w:rPr>
        <w:t>各类别之间的误分类主要集中在被误判为类别0（正常信号），反映出类别不平衡对模型决策产生了显著影响。</w:t>
      </w:r>
    </w:p>
    <w:p>
      <w:pPr>
        <w:pStyle w:val="Heading3"/>
      </w:pPr>
      <w:r>
        <w:t>6.2.4 预测示例可视化</w:t>
      </w:r>
    </w:p>
    <w:p>
      <w:pPr>
        <w:spacing w:line="440" w:lineRule="exact"/>
        <w:ind w:firstLine="420"/>
      </w:pPr>
      <w:r>
        <w:rPr>
          <w:rFonts w:ascii="宋体" w:hAnsi="宋体" w:eastAsia="宋体"/>
          <w:sz w:val="24"/>
        </w:rPr>
        <w:t>图5展示了测试集中部分样本的预测结果，包括正确分类的示例（左侧两列）和错误分类的示例（右侧两列），每行对应一个类别。置信度数值反映了模型对该预测结果的确定程度。</w:t>
      </w:r>
    </w:p>
    <w:p>
      <w:pPr>
        <w:jc w:val="center"/>
      </w:pPr>
      <w:r>
        <w:drawing>
          <wp:inline xmlns:a="http://schemas.openxmlformats.org/drawingml/2006/main" xmlns:pic="http://schemas.openxmlformats.org/drawingml/2006/picture">
            <wp:extent cx="5029200" cy="3133677"/>
            <wp:docPr id="5" name="Picture 5"/>
            <wp:cNvGraphicFramePr>
              <a:graphicFrameLocks noChangeAspect="1"/>
            </wp:cNvGraphicFramePr>
            <a:graphic>
              <a:graphicData uri="http://schemas.openxmlformats.org/drawingml/2006/picture">
                <pic:pic>
                  <pic:nvPicPr>
                    <pic:cNvPr id="0" name="prediction_examples.png"/>
                    <pic:cNvPicPr/>
                  </pic:nvPicPr>
                  <pic:blipFill>
                    <a:blip r:embed="rId13"/>
                    <a:stretch>
                      <a:fillRect/>
                    </a:stretch>
                  </pic:blipFill>
                  <pic:spPr>
                    <a:xfrm>
                      <a:off x="0" y="0"/>
                      <a:ext cx="5029200" cy="3133677"/>
                    </a:xfrm>
                    <a:prstGeom prst="rect"/>
                  </pic:spPr>
                </pic:pic>
              </a:graphicData>
            </a:graphic>
          </wp:inline>
        </w:drawing>
      </w:r>
    </w:p>
    <w:p>
      <w:pPr>
        <w:jc w:val="center"/>
      </w:pPr>
      <w:r>
        <w:rPr>
          <w:rFonts w:ascii="宋体" w:hAnsi="宋体" w:eastAsia="宋体"/>
          <w:sz w:val="20"/>
        </w:rPr>
        <w:t>图5 预测结果展示（正确分类 vs 错误分类）</w:t>
      </w:r>
    </w:p>
    <w:p>
      <w:pPr>
        <w:spacing w:line="440" w:lineRule="exact"/>
        <w:ind w:firstLine="420"/>
      </w:pPr>
      <w:r>
        <w:rPr>
          <w:rFonts w:ascii="宋体" w:hAnsi="宋体" w:eastAsia="宋体"/>
          <w:sz w:val="24"/>
        </w:rPr>
        <w:t>从错误分类的示例可以看出，部分被误判的样本在波形形态上与目标类别的标准波形存在一定相似性，这揭示了类别间特征边界的模糊性，也是分类任务的主要难点所在。</w:t>
      </w:r>
    </w:p>
    <w:p>
      <w:pPr>
        <w:pStyle w:val="Heading1"/>
      </w:pPr>
      <w:r>
        <w:t>七、结果分析与讨论</w:t>
      </w:r>
    </w:p>
    <w:p>
      <w:pPr>
        <w:pStyle w:val="Heading2"/>
      </w:pPr>
      <w:r>
        <w:t>7.1 模型性能综合评价</w:t>
      </w:r>
    </w:p>
    <w:p>
      <w:pPr>
        <w:spacing w:line="440" w:lineRule="exact"/>
        <w:ind w:firstLine="420"/>
      </w:pPr>
      <w:r>
        <w:rPr>
          <w:rFonts w:ascii="宋体" w:hAnsi="宋体" w:eastAsia="宋体"/>
          <w:sz w:val="24"/>
        </w:rPr>
        <w:t>从实验结果来看，本实验构建的1D CNN模型在心电信号四分类任务上表现优异，总体准确率达到98.99%，加权平均F1分数达到0.99。这一结果表明：1D CNN能够有效提取心跳信号中的时序特征，并据此实现高精度的自动分类。</w:t>
      </w:r>
    </w:p>
    <w:p>
      <w:pPr>
        <w:spacing w:line="440" w:lineRule="exact"/>
        <w:ind w:firstLine="420"/>
      </w:pPr>
      <w:r>
        <w:rPr>
          <w:rFonts w:ascii="宋体" w:hAnsi="宋体" w:eastAsia="宋体"/>
          <w:sz w:val="24"/>
        </w:rPr>
        <w:t>模型在三个类别（类别0、类别2、类别3）上的分类准确率均超过98%，在类别1上的准确率为85.67%。综合来看，模型具备很好的实用价值，能够满足心电信号自动分类的大多数应用需求。</w:t>
      </w:r>
    </w:p>
    <w:p>
      <w:pPr>
        <w:pStyle w:val="Heading2"/>
      </w:pPr>
      <w:r>
        <w:t>7.2 类别不平衡问题的影响</w:t>
      </w:r>
    </w:p>
    <w:p>
      <w:pPr>
        <w:spacing w:line="440" w:lineRule="exact"/>
        <w:ind w:firstLine="420"/>
      </w:pPr>
      <w:r>
        <w:rPr>
          <w:rFonts w:ascii="宋体" w:hAnsi="宋体" w:eastAsia="宋体"/>
          <w:sz w:val="24"/>
        </w:rPr>
        <w:t>本实验的数据集存在显著的类别不平衡问题，类别0（正常）占64.33%，而类别1仅占3.56%。这一不平衡性对模型性能产生了以下影响：</w:t>
      </w:r>
    </w:p>
    <w:p>
      <w:pPr>
        <w:pStyle w:val="ListBullet"/>
        <w:spacing w:line="440" w:lineRule="exact"/>
      </w:pPr>
      <w:r>
        <w:rPr>
          <w:rFonts w:ascii="宋体" w:hAnsi="宋体" w:eastAsia="宋体"/>
          <w:sz w:val="24"/>
        </w:rPr>
        <w:t>模型对样本量充足的类别（类别0、类别2、类别3）识别效果极好，准确率均超过98%。</w:t>
      </w:r>
    </w:p>
    <w:p>
      <w:pPr>
        <w:pStyle w:val="ListBullet"/>
        <w:spacing w:line="440" w:lineRule="exact"/>
      </w:pPr>
      <w:r>
        <w:rPr>
          <w:rFonts w:ascii="宋体" w:hAnsi="宋体" w:eastAsia="宋体"/>
          <w:sz w:val="24"/>
        </w:rPr>
        <w:t>样本量最少的类别1召回率较低（0.86），且有101个类别1样本被误判为类别0，占该类测试样本的14.2%。</w:t>
      </w:r>
    </w:p>
    <w:p>
      <w:pPr>
        <w:pStyle w:val="ListBullet"/>
        <w:spacing w:line="440" w:lineRule="exact"/>
      </w:pPr>
      <w:r>
        <w:rPr>
          <w:rFonts w:ascii="宋体" w:hAnsi="宋体" w:eastAsia="宋体"/>
          <w:sz w:val="24"/>
        </w:rPr>
        <w:t>在训练过程中，模型倾向于优先学习样本量大的类别特征，导致对少数类别的识别能力不足。</w:t>
      </w:r>
    </w:p>
    <w:p>
      <w:pPr>
        <w:spacing w:line="440" w:lineRule="exact"/>
        <w:ind w:firstLine="420"/>
      </w:pPr>
      <w:r>
        <w:rPr>
          <w:rFonts w:ascii="宋体" w:hAnsi="宋体" w:eastAsia="宋体"/>
          <w:sz w:val="24"/>
        </w:rPr>
        <w:t>针对类别不平衡问题，在后续工作中可考虑以下改进策略：</w:t>
      </w:r>
    </w:p>
    <w:p>
      <w:pPr>
        <w:pStyle w:val="ListBullet"/>
        <w:spacing w:line="440" w:lineRule="exact"/>
      </w:pPr>
      <w:r>
        <w:rPr>
          <w:rFonts w:ascii="宋体" w:hAnsi="宋体" w:eastAsia="宋体"/>
          <w:sz w:val="24"/>
        </w:rPr>
        <w:t>数据层面：采用SMOTE过采样技术合成少数类样本，或对多数类样本进行欠采样。</w:t>
      </w:r>
    </w:p>
    <w:p>
      <w:pPr>
        <w:pStyle w:val="ListBullet"/>
        <w:spacing w:line="440" w:lineRule="exact"/>
      </w:pPr>
      <w:r>
        <w:rPr>
          <w:rFonts w:ascii="宋体" w:hAnsi="宋体" w:eastAsia="宋体"/>
          <w:sz w:val="24"/>
        </w:rPr>
        <w:t>损失函数层面：在CrossEntropyLoss中引入类别权重（class weights），加大对少数类误分类的惩罚。</w:t>
      </w:r>
    </w:p>
    <w:p>
      <w:pPr>
        <w:pStyle w:val="ListBullet"/>
        <w:spacing w:line="440" w:lineRule="exact"/>
      </w:pPr>
      <w:r>
        <w:rPr>
          <w:rFonts w:ascii="宋体" w:hAnsi="宋体" w:eastAsia="宋体"/>
          <w:sz w:val="24"/>
        </w:rPr>
        <w:t>算法层面：采用Focal Loss等关注难样本的损失函数，降低易分类样本对损失函数的贡献。</w:t>
      </w:r>
    </w:p>
    <w:p>
      <w:pPr>
        <w:pStyle w:val="ListBullet"/>
        <w:spacing w:line="440" w:lineRule="exact"/>
      </w:pPr>
      <w:r>
        <w:rPr>
          <w:rFonts w:ascii="宋体" w:hAnsi="宋体" w:eastAsia="宋体"/>
          <w:sz w:val="24"/>
        </w:rPr>
        <w:t>数据增强：对少数类信号加入高斯噪声、时间扭曲等增强操作，扩充训练数据多样性。</w:t>
      </w:r>
    </w:p>
    <w:p>
      <w:pPr>
        <w:pStyle w:val="Heading2"/>
      </w:pPr>
      <w:r>
        <w:t>7.3 模型的泛化能力分析</w:t>
      </w:r>
    </w:p>
    <w:p>
      <w:pPr>
        <w:spacing w:line="440" w:lineRule="exact"/>
        <w:ind w:firstLine="420"/>
      </w:pPr>
      <w:r>
        <w:rPr>
          <w:rFonts w:ascii="宋体" w:hAnsi="宋体" w:eastAsia="宋体"/>
          <w:sz w:val="24"/>
        </w:rPr>
        <w:t>从训练曲线（图3）可以观察到以下特征：</w:t>
      </w:r>
    </w:p>
    <w:p>
      <w:pPr>
        <w:pStyle w:val="ListBullet"/>
        <w:spacing w:line="440" w:lineRule="exact"/>
      </w:pPr>
      <w:r>
        <w:rPr>
          <w:rFonts w:ascii="宋体" w:hAnsi="宋体" w:eastAsia="宋体"/>
          <w:sz w:val="24"/>
        </w:rPr>
        <w:t>训练准确率与测试准确率的差距始终保持在较小范围内（约1-2%），说明模型没有出现过拟合。</w:t>
      </w:r>
    </w:p>
    <w:p>
      <w:pPr>
        <w:pStyle w:val="ListBullet"/>
        <w:spacing w:line="440" w:lineRule="exact"/>
      </w:pPr>
      <w:r>
        <w:rPr>
          <w:rFonts w:ascii="宋体" w:hAnsi="宋体" w:eastAsia="宋体"/>
          <w:sz w:val="24"/>
        </w:rPr>
        <w:t>训练损失和测试损失同步下降，未出现测试损失上升的过拟合特征。</w:t>
      </w:r>
    </w:p>
    <w:p>
      <w:pPr>
        <w:pStyle w:val="ListBullet"/>
        <w:spacing w:line="440" w:lineRule="exact"/>
      </w:pPr>
      <w:r>
        <w:rPr>
          <w:rFonts w:ascii="宋体" w:hAnsi="宋体" w:eastAsia="宋体"/>
          <w:sz w:val="24"/>
        </w:rPr>
        <w:t>Dropout层（比例为0.5和0.3）和AdamW的权重衰减正则化（weight_decay=1e-4）有效抑制了过拟合。</w:t>
      </w:r>
    </w:p>
    <w:p>
      <w:pPr>
        <w:spacing w:line="440" w:lineRule="exact"/>
        <w:ind w:firstLine="420"/>
      </w:pPr>
      <w:r>
        <w:rPr>
          <w:rFonts w:ascii="宋体" w:hAnsi="宋体" w:eastAsia="宋体"/>
          <w:sz w:val="24"/>
        </w:rPr>
        <w:t>模型总参数量为168,196个，属于轻量级模型。以模型权重文件best_model.pth的大小（约687KB）来看，非常适合在资源受限的移动设备或嵌入式系统中部署。</w:t>
      </w:r>
    </w:p>
    <w:p>
      <w:pPr>
        <w:pStyle w:val="Heading2"/>
      </w:pPr>
      <w:r>
        <w:t>7.4 模型架构设计的有效性</w:t>
      </w:r>
    </w:p>
    <w:p>
      <w:pPr>
        <w:spacing w:line="440" w:lineRule="exact"/>
        <w:ind w:firstLine="420"/>
      </w:pPr>
      <w:r>
        <w:rPr>
          <w:rFonts w:ascii="宋体" w:hAnsi="宋体" w:eastAsia="宋体"/>
          <w:sz w:val="24"/>
        </w:rPr>
        <w:t>本实验设计的1D CNN网络结构具有以下设计特点：</w:t>
      </w:r>
    </w:p>
    <w:p>
      <w:pPr>
        <w:pStyle w:val="ListBullet"/>
        <w:spacing w:line="440" w:lineRule="exact"/>
      </w:pPr>
      <w:r>
        <w:rPr>
          <w:rFonts w:ascii="宋体" w:hAnsi="宋体" w:eastAsia="宋体"/>
          <w:sz w:val="24"/>
        </w:rPr>
        <w:t>渐进式通道扩张：从1通道逐步扩展到256通道，使网络能够在不同抽象层次上提取特征。</w:t>
      </w:r>
    </w:p>
    <w:p>
      <w:pPr>
        <w:pStyle w:val="ListBullet"/>
        <w:spacing w:line="440" w:lineRule="exact"/>
      </w:pPr>
      <w:r>
        <w:rPr>
          <w:rFonts w:ascii="宋体" w:hAnsi="宋体" w:eastAsia="宋体"/>
          <w:sz w:val="24"/>
        </w:rPr>
        <w:t>递减卷积核尺寸：从7逐渐减小到3，初始大卷积核捕获全局特征，后续小卷积核提取精细局部特征。</w:t>
      </w:r>
    </w:p>
    <w:p>
      <w:pPr>
        <w:pStyle w:val="ListBullet"/>
        <w:spacing w:line="440" w:lineRule="exact"/>
      </w:pPr>
      <w:r>
        <w:rPr>
          <w:rFonts w:ascii="宋体" w:hAnsi="宋体" w:eastAsia="宋体"/>
          <w:sz w:val="24"/>
        </w:rPr>
        <w:t>逐步池化下采样：经过三次MaxPool1d，序列长度从205缩减到26，有效降低了计算量。</w:t>
      </w:r>
    </w:p>
    <w:p>
      <w:pPr>
        <w:pStyle w:val="ListBullet"/>
        <w:spacing w:line="440" w:lineRule="exact"/>
      </w:pPr>
      <w:r>
        <w:rPr>
          <w:rFonts w:ascii="宋体" w:hAnsi="宋体" w:eastAsia="宋体"/>
          <w:sz w:val="24"/>
        </w:rPr>
        <w:t>自适应池化：AdaptiveMaxPool1d确保全连接层的输入维度固定，提高模型的灵活性。</w:t>
      </w:r>
    </w:p>
    <w:p>
      <w:pPr>
        <w:spacing w:line="440" w:lineRule="exact"/>
        <w:ind w:firstLine="420"/>
      </w:pPr>
      <w:r>
        <w:rPr>
          <w:rFonts w:ascii="宋体" w:hAnsi="宋体" w:eastAsia="宋体"/>
          <w:sz w:val="24"/>
        </w:rPr>
        <w:t>该设计被证明是有效的——在保持轻量化的同时实现了接近99%的分类准确率。</w:t>
      </w:r>
    </w:p>
    <w:p>
      <w:pPr>
        <w:pStyle w:val="Heading1"/>
      </w:pPr>
      <w:r>
        <w:t>八、实验总结</w:t>
      </w:r>
    </w:p>
    <w:p>
      <w:pPr>
        <w:spacing w:line="440" w:lineRule="exact"/>
        <w:ind w:firstLine="420"/>
      </w:pPr>
      <w:r>
        <w:rPr>
          <w:rFonts w:ascii="宋体" w:hAnsi="宋体" w:eastAsia="宋体"/>
          <w:sz w:val="24"/>
        </w:rPr>
        <w:t>通过本次实验，成功完成了基于一维卷积神经网络（1D CNN）的心跳信号分类任务，达到了预期的实验目标。主要工作与成果总结如下：</w:t>
      </w:r>
    </w:p>
    <w:p>
      <w:pPr>
        <w:spacing w:line="440" w:lineRule="exact"/>
        <w:ind w:firstLine="420"/>
      </w:pPr>
      <w:r>
        <w:rPr>
          <w:rFonts w:ascii="宋体" w:hAnsi="宋体" w:eastAsia="宋体"/>
          <w:sz w:val="24"/>
        </w:rPr>
        <w:t>（1）数据探索与分析：完成了100,000条心跳信号数据的加载、解析和探索性分析。发现数据集包含4个类别、205个时间点的信号序列，存在明显的类别不平衡（类别0占64.33%，类别1仅占3.56%）。通过可视化各类别信号的平均波形，验证了不同类别在信号形态上的可分性。</w:t>
      </w:r>
    </w:p>
    <w:p>
      <w:pPr>
        <w:spacing w:line="440" w:lineRule="exact"/>
        <w:ind w:firstLine="420"/>
      </w:pPr>
      <w:r>
        <w:rPr>
          <w:rFonts w:ascii="宋体" w:hAnsi="宋体" w:eastAsia="宋体"/>
          <w:sz w:val="24"/>
        </w:rPr>
        <w:t>（2）模型构建与训练：设计并实现了一个包含4个卷积块和2个全连接层的1D CNN模型（总参数量168,196个）。使用AdamW优化器和余弦退火学习率调度策略，经过30轮迭代训练后模型收敛良好。</w:t>
      </w:r>
    </w:p>
    <w:p>
      <w:pPr>
        <w:spacing w:line="440" w:lineRule="exact"/>
        <w:ind w:firstLine="420"/>
      </w:pPr>
      <w:r>
        <w:rPr>
          <w:rFonts w:ascii="宋体" w:hAnsi="宋体" w:eastAsia="宋体"/>
          <w:sz w:val="24"/>
        </w:rPr>
        <w:t>（3）性能评估：在20,000个样本的测试集上取得了98.99%的总体准确率。其中类别0（正常）准确率99.61%，类别2准确率98.56%，类别3准确率99.75%，类别1准确率85.67%。模型参数量少、性能优异，具有良好的实用价值。</w:t>
      </w:r>
    </w:p>
    <w:p>
      <w:pPr>
        <w:spacing w:line="440" w:lineRule="exact"/>
        <w:ind w:firstLine="420"/>
      </w:pPr>
      <w:r>
        <w:rPr>
          <w:rFonts w:ascii="宋体" w:hAnsi="宋体" w:eastAsia="宋体"/>
          <w:sz w:val="24"/>
        </w:rPr>
        <w:t>（4）实验结果可视化：生成了类别信号分析图、标签分布图、训练历史曲线、混淆矩阵和预测示例图等多种可视化结果，从多个维度全面展示了实验过程和模型性能。</w:t>
      </w:r>
    </w:p>
    <w:p>
      <w:pPr>
        <w:spacing w:line="440" w:lineRule="exact"/>
        <w:ind w:firstLine="420"/>
      </w:pPr>
      <w:r>
        <w:rPr>
          <w:rFonts w:ascii="宋体" w:hAnsi="宋体" w:eastAsia="宋体"/>
          <w:sz w:val="24"/>
        </w:rPr>
        <w:t>（5）问题分析与改进方向：深入分析了类别不平衡问题对模型性能的影响，并提出了多种可行的改进策略，为后续研究指明了方向。</w:t>
      </w:r>
    </w:p>
    <w:p>
      <w:pPr>
        <w:spacing w:line="440" w:lineRule="exact"/>
        <w:ind w:firstLine="420"/>
      </w:pPr>
      <w:r>
        <w:rPr>
          <w:rFonts w:ascii="宋体" w:hAnsi="宋体" w:eastAsia="宋体"/>
          <w:sz w:val="24"/>
        </w:rPr>
        <w:t>本实验验证了1D CNN在心电信号自动分类任务中的有效性和优越性，同时也揭示了类别不平衡等实际应用中的常见问题。实验结果表明，深度学习技术在心电信号分析领域具有广阔的应用前景，可进一步探索更先进的网络结构（如ResNet、Transformer）和处理策略以实现更好的分类性能。</w:t>
      </w:r>
    </w:p>
    <w:p>
      <w:pPr>
        <w:pStyle w:val="Heading1"/>
      </w:pPr>
      <w:r>
        <w:t>九、代码与数据</w:t>
      </w:r>
    </w:p>
    <w:p>
      <w:pPr>
        <w:pStyle w:val="Heading2"/>
      </w:pPr>
      <w:r>
        <w:t>9.1 代码仓库</w:t>
      </w:r>
    </w:p>
    <w:p>
      <w:pPr>
        <w:spacing w:line="440" w:lineRule="exact"/>
        <w:ind w:firstLine="420"/>
      </w:pPr>
      <w:r>
        <w:rPr>
          <w:rFonts w:ascii="宋体" w:hAnsi="宋体" w:eastAsia="宋体"/>
          <w:sz w:val="24"/>
        </w:rPr>
        <w:t>本实验的完整代码、数据划分结果和实验报告已托管在 GitHub 上，可通过以下地址获取：</w:t>
      </w:r>
    </w:p>
    <w:p>
      <w:pPr>
        <w:spacing w:before="160" w:after="160"/>
        <w:ind w:left="567"/>
      </w:pPr>
      <w:r>
        <w:rPr>
          <w:rFonts w:ascii="Consolas" w:hAnsi="Consolas"/>
          <w:b/>
          <w:color w:val="003399"/>
          <w:sz w:val="26"/>
        </w:rPr>
        <w:t>GitHub 仓库地址：https://github.com/__________/heartbeat-classification-1dcnn</w:t>
      </w:r>
    </w:p>
    <w:p>
      <w:pPr>
        <w:spacing w:line="440" w:lineRule="exact"/>
        <w:ind w:firstLine="420"/>
      </w:pPr>
      <w:r>
        <w:rPr>
          <w:rFonts w:ascii="宋体" w:hAnsi="宋体" w:eastAsia="宋体"/>
          <w:sz w:val="24"/>
        </w:rPr>
        <w:t>（请将上述地址中的 "__________" 替换为你的 GitHub 用户名，或替换为实际仓库地址。）</w:t>
      </w:r>
    </w:p>
    <w:p>
      <w:pPr>
        <w:spacing w:line="440" w:lineRule="exact"/>
        <w:ind w:firstLine="420"/>
      </w:pPr>
      <w:r>
        <w:rPr>
          <w:rFonts w:ascii="宋体" w:hAnsi="宋体" w:eastAsia="宋体"/>
          <w:sz w:val="24"/>
        </w:rPr>
        <w:t>仓库目录结构如下：</w:t>
      </w:r>
    </w:p>
    <w:p>
      <w:pPr>
        <w:spacing w:line="320" w:lineRule="exact"/>
        <w:ind w:left="567"/>
      </w:pPr>
      <w:r>
        <w:rPr>
          <w:rFonts w:ascii="Consolas" w:hAnsi="Consolas"/>
          <w:sz w:val="18"/>
        </w:rPr>
        <w:t>heartbeat-classification-1dcnn/</w:t>
      </w:r>
    </w:p>
    <w:p>
      <w:pPr>
        <w:spacing w:line="320" w:lineRule="exact"/>
        <w:ind w:left="567"/>
      </w:pPr>
      <w:r>
        <w:rPr>
          <w:rFonts w:ascii="Consolas" w:hAnsi="Consolas"/>
          <w:sz w:val="18"/>
        </w:rPr>
        <w:t>├── README.md                    # 项目说明文档</w:t>
      </w:r>
    </w:p>
    <w:p>
      <w:pPr>
        <w:spacing w:line="320" w:lineRule="exact"/>
        <w:ind w:left="567"/>
      </w:pPr>
      <w:r>
        <w:rPr>
          <w:rFonts w:ascii="Consolas" w:hAnsi="Consolas"/>
          <w:sz w:val="18"/>
        </w:rPr>
        <w:t>├── requirements.txt             # Python 依赖包列表</w:t>
      </w:r>
    </w:p>
    <w:p>
      <w:pPr>
        <w:spacing w:line="320" w:lineRule="exact"/>
        <w:ind w:left="567"/>
      </w:pPr>
      <w:r>
        <w:rPr>
          <w:rFonts w:ascii="Consolas" w:hAnsi="Consolas"/>
          <w:sz w:val="18"/>
        </w:rPr>
        <w:t>├── .gitignore                   # Git 忽略配置</w:t>
      </w:r>
    </w:p>
    <w:p>
      <w:pPr>
        <w:spacing w:line="320" w:lineRule="exact"/>
        <w:ind w:left="567"/>
      </w:pPr>
      <w:r>
        <w:rPr>
          <w:rFonts w:ascii="Consolas" w:hAnsi="Consolas"/>
          <w:sz w:val="18"/>
        </w:rPr>
        <w:t>├── 实验报告_心跳信号分类.docx    # 本实验报告</w:t>
      </w:r>
    </w:p>
    <w:p>
      <w:pPr>
        <w:spacing w:line="320" w:lineRule="exact"/>
        <w:ind w:left="567"/>
      </w:pPr>
      <w:r>
        <w:rPr>
          <w:rFonts w:ascii="Consolas" w:hAnsi="Consolas"/>
          <w:sz w:val="18"/>
        </w:rPr>
        <w:t>├── data/</w:t>
      </w:r>
    </w:p>
    <w:p>
      <w:pPr>
        <w:spacing w:line="320" w:lineRule="exact"/>
        <w:ind w:left="567"/>
      </w:pPr>
      <w:r>
        <w:rPr>
          <w:rFonts w:ascii="Consolas" w:hAnsi="Consolas"/>
          <w:sz w:val="18"/>
        </w:rPr>
        <w:t>│   ├── split_data.py            # 数据划分脚本</w:t>
      </w:r>
    </w:p>
    <w:p>
      <w:pPr>
        <w:spacing w:line="320" w:lineRule="exact"/>
        <w:ind w:left="567"/>
      </w:pPr>
      <w:r>
        <w:rPr>
          <w:rFonts w:ascii="Consolas" w:hAnsi="Consolas"/>
          <w:sz w:val="18"/>
        </w:rPr>
        <w:t>│   ├── train_data.csv.gz        # 训练集（80,000条，压缩后66MB）</w:t>
      </w:r>
    </w:p>
    <w:p>
      <w:pPr>
        <w:spacing w:line="320" w:lineRule="exact"/>
        <w:ind w:left="567"/>
      </w:pPr>
      <w:r>
        <w:rPr>
          <w:rFonts w:ascii="Consolas" w:hAnsi="Consolas"/>
          <w:sz w:val="18"/>
        </w:rPr>
        <w:t>│   └── test_data.csv.gz         # 测试集（20,000条，压缩后17MB）</w:t>
      </w:r>
    </w:p>
    <w:p>
      <w:pPr>
        <w:spacing w:line="320" w:lineRule="exact"/>
        <w:ind w:left="567"/>
      </w:pPr>
      <w:r>
        <w:rPr>
          <w:rFonts w:ascii="Consolas" w:hAnsi="Consolas"/>
          <w:sz w:val="18"/>
        </w:rPr>
        <w:t>├── src/</w:t>
      </w:r>
    </w:p>
    <w:p>
      <w:pPr>
        <w:spacing w:line="320" w:lineRule="exact"/>
        <w:ind w:left="567"/>
      </w:pPr>
      <w:r>
        <w:rPr>
          <w:rFonts w:ascii="Consolas" w:hAnsi="Consolas"/>
          <w:sz w:val="18"/>
        </w:rPr>
        <w:t>│   └── experiment1.py           # 实验主代码</w:t>
      </w:r>
    </w:p>
    <w:p>
      <w:pPr>
        <w:spacing w:line="320" w:lineRule="exact"/>
        <w:ind w:left="567"/>
      </w:pPr>
      <w:r>
        <w:rPr>
          <w:rFonts w:ascii="Consolas" w:hAnsi="Consolas"/>
          <w:sz w:val="18"/>
        </w:rPr>
        <w:t>└── results/</w:t>
      </w:r>
    </w:p>
    <w:p>
      <w:pPr>
        <w:spacing w:line="320" w:lineRule="exact"/>
        <w:ind w:left="567"/>
      </w:pPr>
      <w:r>
        <w:rPr>
          <w:rFonts w:ascii="Consolas" w:hAnsi="Consolas"/>
          <w:sz w:val="18"/>
        </w:rPr>
        <w:t xml:space="preserve">    ├── class_signal_analysis.png    # 各类别信号分析图</w:t>
      </w:r>
    </w:p>
    <w:p>
      <w:pPr>
        <w:spacing w:line="320" w:lineRule="exact"/>
        <w:ind w:left="567"/>
      </w:pPr>
      <w:r>
        <w:rPr>
          <w:rFonts w:ascii="Consolas" w:hAnsi="Consolas"/>
          <w:sz w:val="18"/>
        </w:rPr>
        <w:t xml:space="preserve">    ├── label_distribution.png       # 标签分布图</w:t>
      </w:r>
    </w:p>
    <w:p>
      <w:pPr>
        <w:spacing w:line="320" w:lineRule="exact"/>
        <w:ind w:left="567"/>
      </w:pPr>
      <w:r>
        <w:rPr>
          <w:rFonts w:ascii="Consolas" w:hAnsi="Consolas"/>
          <w:sz w:val="18"/>
        </w:rPr>
        <w:t xml:space="preserve">    ├── training_history.png         # 训练历史曲线</w:t>
      </w:r>
    </w:p>
    <w:p>
      <w:pPr>
        <w:spacing w:line="320" w:lineRule="exact"/>
        <w:ind w:left="567"/>
      </w:pPr>
      <w:r>
        <w:rPr>
          <w:rFonts w:ascii="Consolas" w:hAnsi="Consolas"/>
          <w:sz w:val="18"/>
        </w:rPr>
        <w:t xml:space="preserve">    ├── confusion_matrix.png         # 混淆矩阵</w:t>
      </w:r>
    </w:p>
    <w:p>
      <w:pPr>
        <w:spacing w:line="320" w:lineRule="exact"/>
        <w:ind w:left="567"/>
      </w:pPr>
      <w:r>
        <w:rPr>
          <w:rFonts w:ascii="Consolas" w:hAnsi="Consolas"/>
          <w:sz w:val="18"/>
        </w:rPr>
        <w:t xml:space="preserve">    ├── prediction_examples.png      # 预测示例图</w:t>
      </w:r>
    </w:p>
    <w:p>
      <w:pPr>
        <w:spacing w:line="320" w:lineRule="exact"/>
        <w:ind w:left="567"/>
      </w:pPr>
      <w:r>
        <w:rPr>
          <w:rFonts w:ascii="Consolas" w:hAnsi="Consolas"/>
          <w:sz w:val="18"/>
        </w:rPr>
        <w:t xml:space="preserve">    └── best_model.pth               # 最佳模型权重</w:t>
      </w:r>
    </w:p>
    <w:p>
      <w:pPr>
        <w:pStyle w:val="Heading2"/>
      </w:pPr>
      <w:r>
        <w:t>9.2 数据划分方法</w:t>
      </w:r>
    </w:p>
    <w:p>
      <w:pPr>
        <w:spacing w:line="440" w:lineRule="exact"/>
        <w:ind w:firstLine="420"/>
      </w:pPr>
      <w:r>
        <w:rPr>
          <w:rFonts w:ascii="宋体" w:hAnsi="宋体" w:eastAsia="宋体"/>
          <w:sz w:val="24"/>
        </w:rPr>
        <w:t>原始数据集（train.csv，100,000条）通过 data/split_data.py 脚本按以下方式处理：</w:t>
      </w:r>
    </w:p>
    <w:p>
      <w:pPr>
        <w:pStyle w:val="ListBullet"/>
        <w:spacing w:line="440" w:lineRule="exact"/>
      </w:pPr>
      <w:r>
        <w:rPr>
          <w:rFonts w:ascii="宋体" w:hAnsi="宋体" w:eastAsia="宋体"/>
          <w:sz w:val="24"/>
        </w:rPr>
        <w:t>划分比例：训练集 80%（80,000条），测试集 20%（20,000条）</w:t>
      </w:r>
    </w:p>
    <w:p>
      <w:pPr>
        <w:pStyle w:val="ListBullet"/>
        <w:spacing w:line="440" w:lineRule="exact"/>
      </w:pPr>
      <w:r>
        <w:rPr>
          <w:rFonts w:ascii="宋体" w:hAnsi="宋体" w:eastAsia="宋体"/>
          <w:sz w:val="24"/>
        </w:rPr>
        <w:t>抽样方式：分层抽样（Stratified Split），保持各类别比例与原始数据一致</w:t>
      </w:r>
    </w:p>
    <w:p>
      <w:pPr>
        <w:pStyle w:val="ListBullet"/>
        <w:spacing w:line="440" w:lineRule="exact"/>
      </w:pPr>
      <w:r>
        <w:rPr>
          <w:rFonts w:ascii="宋体" w:hAnsi="宋体" w:eastAsia="宋体"/>
          <w:sz w:val="24"/>
        </w:rPr>
        <w:t>随机种子：random_state=42，确保划分结果可重复</w:t>
      </w:r>
    </w:p>
    <w:p>
      <w:pPr>
        <w:pStyle w:val="ListBullet"/>
        <w:spacing w:line="440" w:lineRule="exact"/>
      </w:pPr>
      <w:r>
        <w:rPr>
          <w:rFonts w:ascii="宋体" w:hAnsi="宋体" w:eastAsia="宋体"/>
          <w:sz w:val="24"/>
        </w:rPr>
        <w:t>数据文件以 .gz 格式压缩存储，解压后可直接使用</w:t>
      </w:r>
    </w:p>
    <w:p>
      <w:pPr>
        <w:spacing w:line="440" w:lineRule="exact"/>
        <w:ind w:firstLine="420"/>
      </w:pPr>
      <w:r>
        <w:rPr>
          <w:rFonts w:ascii="宋体" w:hAnsi="宋体" w:eastAsia="宋体"/>
          <w:sz w:val="24"/>
        </w:rPr>
        <w:t>使用预划分数据的命令：</w:t>
      </w:r>
    </w:p>
    <w:p>
      <w:pPr>
        <w:ind w:left="567"/>
      </w:pPr>
      <w:r>
        <w:rPr>
          <w:rFonts w:ascii="Consolas" w:hAnsi="Consolas"/>
          <w:sz w:val="22"/>
        </w:rPr>
        <w:t>python data/split_data.py --input train.csv --output data/</w:t>
      </w:r>
    </w:p>
    <w:p>
      <w:pPr>
        <w:pStyle w:val="Heading1"/>
      </w:pPr>
      <w:r>
        <w:t>参考资料</w:t>
      </w:r>
    </w:p>
    <w:p>
      <w:pPr>
        <w:spacing w:line="400" w:lineRule="exact"/>
      </w:pPr>
      <w:r>
        <w:rPr>
          <w:rFonts w:ascii="宋体" w:hAnsi="宋体" w:eastAsia="宋体"/>
          <w:sz w:val="20"/>
        </w:rPr>
        <w:t>[1] PyTorch官方文档与教程. https://pytorch.org/docs/</w:t>
      </w:r>
    </w:p>
    <w:p>
      <w:pPr>
        <w:spacing w:line="400" w:lineRule="exact"/>
      </w:pPr>
      <w:r>
        <w:rPr>
          <w:rFonts w:ascii="宋体" w:hAnsi="宋体" w:eastAsia="宋体"/>
          <w:sz w:val="20"/>
        </w:rPr>
        <w:t>[2] scikit-learn: Machine Learning in Python. https://scikit-learn.org/stable/</w:t>
      </w:r>
    </w:p>
    <w:p>
      <w:pPr>
        <w:spacing w:line="400" w:lineRule="exact"/>
      </w:pPr>
      <w:r>
        <w:rPr>
          <w:rFonts w:ascii="宋体" w:hAnsi="宋体" w:eastAsia="宋体"/>
          <w:sz w:val="20"/>
        </w:rPr>
        <w:t>[3] Kiranyaz, S., Avci, O., Abdeljaber, O., et al. "1D convolutional neural networks and applications: A survey." Mechanical Systems and Signal Processing, 151, 107398, 2021.</w:t>
      </w:r>
    </w:p>
    <w:p>
      <w:pPr>
        <w:spacing w:line="400" w:lineRule="exact"/>
      </w:pPr>
      <w:r>
        <w:rPr>
          <w:rFonts w:ascii="宋体" w:hAnsi="宋体" w:eastAsia="宋体"/>
          <w:sz w:val="20"/>
        </w:rPr>
        <w:t>[4] Kachuee, M., Fazeli, S., Sarrafzadeh, M. "ECG Heartbeat Classification: A Deep Transferable Representation." IEEE International Conference on Bioinformatics and Biomedicine (BIBM), 2018.</w:t>
      </w:r>
    </w:p>
    <w:p>
      <w:pPr>
        <w:spacing w:line="400" w:lineRule="exact"/>
      </w:pPr>
      <w:r>
        <w:rPr>
          <w:rFonts w:ascii="宋体" w:hAnsi="宋体" w:eastAsia="宋体"/>
          <w:sz w:val="20"/>
        </w:rPr>
        <w:t>[5] Rajpurkar, P., Hannun, A.Y., Haghpanahi, M., et al. "Cardiologist-Level Arrhythmia Detection with Convolutional Neural Networks." arXiv:1707.01836, 2017.</w:t>
      </w:r>
    </w:p>
    <w:p>
      <w:pPr>
        <w:spacing w:line="400" w:lineRule="exact"/>
      </w:pPr>
      <w:r>
        <w:rPr>
          <w:rFonts w:ascii="宋体" w:hAnsi="宋体" w:eastAsia="宋体"/>
          <w:sz w:val="20"/>
        </w:rPr>
        <w:t>[6] 实验数据集: train.csv（100,000条心跳信号记录，含4个类别标签）</w:t>
      </w:r>
    </w:p>
    <w:p>
      <w:pPr>
        <w:spacing w:line="400" w:lineRule="exact"/>
      </w:pPr>
      <w:r>
        <w:rPr>
          <w:rFonts w:ascii="宋体" w:hAnsi="宋体" w:eastAsia="宋体"/>
          <w:sz w:val="20"/>
        </w:rPr>
        <w:t>[7] GitHub 仓库: https://github.com/__________/heartbeat-classification-1dcnn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