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ASTRA+</w:t>
      </w:r>
    </w:p>
    <w:p>
      <w:r>
        <w:rPr>
          <w:b w:val="0"/>
        </w:rPr>
        <w:t>Banking Platform 2.0 — Platform Overview &amp; Module Roadmap</w:t>
      </w:r>
    </w:p>
    <w:p/>
    <w:p>
      <w:r>
        <w:rPr>
          <w:b w:val="0"/>
        </w:rPr>
        <w:t>One platform. Multiple modules.</w:t>
      </w:r>
    </w:p>
    <w:p/>
    <w:p>
      <w:r>
        <w:rPr>
          <w:b w:val="0"/>
        </w:rPr>
        <w:t>CTS · EJ Intelligence · PRAMAAN · Integrated Business Banking (IBB) · Future Modules</w:t>
      </w:r>
    </w:p>
    <w:p/>
    <w:p>
      <w:r>
        <w:rPr>
          <w:b w:val="0"/>
        </w:rPr>
        <w:t>Internal Roadmap &amp; Decision-Support Document</w:t>
      </w:r>
    </w:p>
    <w:p>
      <w:r>
        <w:rPr>
          <w:b w:val="0"/>
        </w:rPr>
        <w:t>Not for external circulation — to be baked internally before market research</w:t>
      </w:r>
    </w:p>
    <w:p/>
    <w:p>
      <w:r>
        <w:rPr>
          <w:b w:val="0"/>
        </w:rPr>
        <w:t>August 2026</w:t>
      </w:r>
    </w:p>
    <w:p/>
    <w:p>
      <w:r>
        <w:rPr>
          <w:b w:val="0"/>
        </w:rPr>
        <w:t>CONFIDENTIAL — Internal Use Only</w:t>
      </w:r>
    </w:p>
    <w:p/>
    <w:p>
      <w:pPr>
        <w:pStyle w:val="Heading1"/>
      </w:pPr>
      <w:r>
        <w:t>1. Executive Summary &amp; How to Read This Document</w:t>
      </w:r>
    </w:p>
    <w:p>
      <w:r>
        <w:rPr>
          <w:b w:val="0"/>
        </w:rPr>
        <w:t>ASTRA is not a cheque-processing product with regulatory reporting bolted on. It is a platform — Banking Platform 2.0 — with a shared substrate (vault-isolated CBS access, exactly-once orchestration, reconciliation/exception handling, tamper-evident audit, explainable AI, Sponsor Bank distribution) that different modules point at different external counterparties. CTS was the first proof. EJ Intelligence, PRAMAAN, and IBB (Integrated Business Banking) are the next three.</w:t>
      </w:r>
    </w:p>
    <w:p>
      <w:r>
        <w:rPr>
          <w:b w:val="0"/>
        </w:rPr>
        <w:t>This document exists for one purpose: to think clearly, internally, before a single line of new code is written for IBB. CTS is live. EJ Intelligence has a working prototype. PRAMAAN is blueprint-ready and largely uncontested — nobody competes with a bank on internal regulatory tooling. IBB is different: it is a real commercial opportunity sitting in a competitive market against funded incumbents, and it deserves the same rigour a market-entry decision would get anywhere else in the business — not just an architecture diagram.</w:t>
      </w:r>
    </w:p>
    <w:p>
      <w:pPr>
        <w:pStyle w:val="Heading2"/>
      </w:pPr>
      <w:r>
        <w:t>The process this document is designed to support</w:t>
      </w:r>
    </w:p>
    <w:p>
      <w:r>
        <w:rPr>
          <w:b w:val="0"/>
        </w:rPr>
        <w:t>Stage 1 — Bake internally (this document). Lay out the platform, the modules, and specifically for IBB, weigh opportunity against drift honestly, before committing any research budget.</w:t>
      </w:r>
    </w:p>
    <w:p>
      <w:r>
        <w:rPr>
          <w:b w:val="0"/>
        </w:rPr>
        <w:t>Stage 2 — Market research. Once the internal thinking is sound, commission targeted research against the specific open questions in Section 8.4 — not generic market sizing, but answers to the exact things that would change the decision.</w:t>
      </w:r>
    </w:p>
    <w:p>
      <w:r>
        <w:rPr>
          <w:b w:val="0"/>
        </w:rPr>
        <w:t>Stage 3 — Go/No-Go gate. Revisit this document against what research found. Decide whether IBB proceeds, is deferred, or is reshaped.</w:t>
      </w:r>
    </w:p>
    <w:p>
      <w:r>
        <w:rPr>
          <w:b w:val="0"/>
        </w:rPr>
        <w:t>Stage 4 — Engineering. Only after Stage 3 clears.</w:t>
      </w:r>
    </w:p>
    <w:p>
      <w:r>
        <w:rPr>
          <w:b w:val="0"/>
        </w:rPr>
        <w:t>Sections 2–6 lay out the platform and its four modules (CTS, EJ Intelligence, PRAMAAN, IBB) as they currently stand. Section 7 makes the shared-engine economics explicit across all four. Section 8 is the core of this document's purpose — the opportunity-vs-threat analysis for IBB specifically. Section 9 proposes the decision path. Section 10 parks future module candidates without committing to them. Section 11 is a long-range, deliberately speculative track for later contemplation.</w:t>
      </w:r>
    </w:p>
    <w:p/>
    <w:p>
      <w:pPr>
        <w:pStyle w:val="Heading1"/>
      </w:pPr>
      <w:r>
        <w:t>2. ASTRA — The Platform (Banking Platform 2.0)</w:t>
      </w:r>
    </w:p>
    <w:p>
      <w:r>
        <w:rPr>
          <w:b w:val="0"/>
        </w:rPr>
        <w:t>Every module described in this document — live, prototype-stage, blueprint-ready, or merely contemplated — draws on the same shared substrate. This is what makes ASTRA a platform rather than a portfolio of unrelated products, and it is the single most important economic fact in this entire document: the marginal cost of a new module is the cost of new business logic and a new external integration, not the cost of rebuilding trust infrastructure.</w:t>
      </w:r>
    </w:p>
    <w:tbl>
      <w:tblPr>
        <w:tblStyle w:val="TableGrid"/>
        <w:tblW w:type="auto" w:w="0"/>
        <w:tblLook w:firstColumn="1" w:firstRow="1" w:lastColumn="0" w:lastRow="0" w:noHBand="0" w:noVBand="1" w:val="04A0"/>
      </w:tblPr>
      <w:tblGrid>
        <w:gridCol w:w="4320"/>
        <w:gridCol w:w="4320"/>
      </w:tblGrid>
      <w:tr>
        <w:tc>
          <w:tcPr>
            <w:tcW w:type="dxa" w:w="4320"/>
          </w:tcPr>
          <w:p>
            <w:r>
              <w:t>Platform Component</w:t>
            </w:r>
          </w:p>
        </w:tc>
        <w:tc>
          <w:tcPr>
            <w:tcW w:type="dxa" w:w="4320"/>
          </w:tcPr>
          <w:p>
            <w:r>
              <w:t>What It Provides</w:t>
            </w:r>
          </w:p>
        </w:tc>
      </w:tr>
      <w:tr>
        <w:tc>
          <w:tcPr>
            <w:tcW w:type="dxa" w:w="4320"/>
          </w:tcPr>
          <w:p>
            <w:r>
              <w:t>Miniature Vault</w:t>
            </w:r>
          </w:p>
        </w:tc>
        <w:tc>
          <w:tcPr>
            <w:tcW w:type="dxa" w:w="4320"/>
          </w:tcPr>
          <w:p>
            <w:r>
              <w:t>CBS-isolated, sub-5ms lookups for account state, mandates, beneficiaries — so no module hammers the core banking system directly on every call</w:t>
            </w:r>
          </w:p>
        </w:tc>
      </w:tr>
      <w:tr>
        <w:tc>
          <w:tcPr>
            <w:tcW w:type="dxa" w:w="4320"/>
          </w:tcPr>
          <w:p>
            <w:r>
              <w:t>Temporal Orchestration</w:t>
            </w:r>
          </w:p>
        </w:tc>
        <w:tc>
          <w:tcPr>
            <w:tcW w:type="dxa" w:w="4320"/>
          </w:tcPr>
          <w:p>
            <w:r>
              <w:t>Exactly-once, idempotent workflows with retries and compensating actions — no duplicate filings, no duplicate payments, regardless of which module is orchestrating</w:t>
            </w:r>
          </w:p>
        </w:tc>
      </w:tr>
      <w:tr>
        <w:tc>
          <w:tcPr>
            <w:tcW w:type="dxa" w:w="4320"/>
          </w:tcPr>
          <w:p>
            <w:r>
              <w:t>Reconciliation / Exception Engine</w:t>
            </w:r>
          </w:p>
        </w:tc>
        <w:tc>
          <w:tcPr>
            <w:tcW w:type="dxa" w:w="4320"/>
          </w:tcPr>
          <w:p>
            <w:r>
              <w:t>A single engine that normalises any external party's return/rejection/status codes into one internal taxonomy — cheque returns, regulatory rejections, payment-rail return codes, EJ dispute codes all register into the same engine</w:t>
            </w:r>
          </w:p>
        </w:tc>
      </w:tr>
      <w:tr>
        <w:tc>
          <w:tcPr>
            <w:tcW w:type="dxa" w:w="4320"/>
          </w:tcPr>
          <w:p>
            <w:r>
              <w:t>immudb Audit Store</w:t>
            </w:r>
          </w:p>
        </w:tc>
        <w:tc>
          <w:tcPr>
            <w:tcW w:type="dxa" w:w="4320"/>
          </w:tcPr>
          <w:p>
            <w:r>
              <w:t>Tamper-evident, timestamped record of every action across every module — supervisor-presentable, dispute-resolution-ready, one audit trail rather than several</w:t>
            </w:r>
          </w:p>
        </w:tc>
      </w:tr>
      <w:tr>
        <w:tc>
          <w:tcPr>
            <w:tcW w:type="dxa" w:w="4320"/>
          </w:tcPr>
          <w:p>
            <w:r>
              <w:t>Explainable AI (fraud/vision)</w:t>
            </w:r>
          </w:p>
        </w:tc>
        <w:tc>
          <w:tcPr>
            <w:tcW w:type="dxa" w:w="4320"/>
          </w:tcPr>
          <w:p>
            <w:r>
              <w:t>SHAP-explainable fraud scoring and Vision LLM/multi-OCR document intelligence, proven on cheque images, reusable on EJ anomaly detection, payment anomalies, and trade-finance documents</w:t>
            </w:r>
          </w:p>
        </w:tc>
      </w:tr>
      <w:tr>
        <w:tc>
          <w:tcPr>
            <w:tcW w:type="dxa" w:w="4320"/>
          </w:tcPr>
          <w:p>
            <w:r>
              <w:t>Identity &amp; Access</w:t>
            </w:r>
          </w:p>
        </w:tc>
        <w:tc>
          <w:tcPr>
            <w:tcW w:type="dxa" w:w="4320"/>
          </w:tcPr>
          <w:p>
            <w:r>
              <w:t>Login · MFA (TOTP) · RBAC · SAML 2.0 / LDAP / Local connectors — shared authentication and authorisation layer consumed by every module; no product rebuilds auth infrastructure</w:t>
            </w:r>
          </w:p>
        </w:tc>
      </w:tr>
      <w:tr>
        <w:tc>
          <w:tcPr>
            <w:tcW w:type="dxa" w:w="4320"/>
          </w:tcPr>
          <w:p>
            <w:r>
              <w:t>Notification Engine</w:t>
            </w:r>
          </w:p>
        </w:tc>
        <w:tc>
          <w:tcPr>
            <w:tcW w:type="dxa" w:w="4320"/>
          </w:tcPr>
          <w:p>
            <w:r>
              <w:t>Email (Postal) · WhatsApp Business API · dispatcher.py routes alerts from any module to the right channel — one notification infrastructure, many producers (CTS, EJ, PRAMAAN, IBB)</w:t>
            </w:r>
          </w:p>
        </w:tc>
      </w:tr>
      <w:tr>
        <w:tc>
          <w:tcPr>
            <w:tcW w:type="dxa" w:w="4320"/>
          </w:tcPr>
          <w:p>
            <w:r>
              <w:t>Sponsor Bank Distribution</w:t>
            </w:r>
          </w:p>
        </w:tc>
        <w:tc>
          <w:tcPr>
            <w:tcW w:type="dxa" w:w="4320"/>
          </w:tcPr>
          <w:p>
            <w:r>
              <w:t>A GTM motion already proven for CTS — banks landed via one module are natural cross-sell targets for the next, no new sales cycle required</w:t>
            </w:r>
          </w:p>
        </w:tc>
      </w:tr>
    </w:tbl>
    <w:p/>
    <w:p>
      <w:r>
        <w:rPr>
          <w:b w:val="0"/>
        </w:rPr>
        <w:t>The rest of this document is organised as one platform chapter (above) followed by one chapter per module. Read each module chapter as 'what does this module need beyond the platform,' not as a standalone product description.</w:t>
      </w:r>
    </w:p>
    <w:p/>
    <w:p>
      <w:pPr>
        <w:pStyle w:val="Heading1"/>
      </w:pPr>
      <w:r>
        <w:t>3. Module: CTS — Cheque Truncation &amp; Clearing</w:t>
      </w:r>
    </w:p>
    <w:p>
      <w:r>
        <w:rPr>
          <w:b w:val="0"/>
        </w:rPr>
        <w:t>ASTRA's first and only currently live module. Included here for completeness and because every architectural claim made about EJ Intelligence, PRAMAAN, and IBB rests on patterns first proven in production here.</w:t>
      </w:r>
    </w:p>
    <w:p>
      <w:pPr>
        <w:pStyle w:val="ListBullet"/>
      </w:pPr>
      <w:r>
        <w:t>Four-sub-flow validation: full validation architecture across instrument/field, account/vault, signature/mandate, and balance/funds checks — the template every later module's exception taxonomy is built from</w:t>
      </w:r>
    </w:p>
    <w:p>
      <w:pPr>
        <w:pStyle w:val="ListBullet"/>
      </w:pPr>
      <w:r>
        <w:t>OCR: Qwen3-VL-8B evaluated as the highest-leverage upgrade path over the existing Qwen2.5-VL setup for Devanagari handwriting recognition</w:t>
      </w:r>
    </w:p>
    <w:p>
      <w:pPr>
        <w:pStyle w:val="ListBullet"/>
      </w:pPr>
      <w:r>
        <w:t>Signature verification: YOLO-based signature detection paired with a Siamese network for verification — the fraud-scoring pattern reused in IBB's payment-anomaly module</w:t>
      </w:r>
    </w:p>
    <w:p>
      <w:pPr>
        <w:pStyle w:val="ListBullet"/>
      </w:pPr>
      <w:r>
        <w:t>Core infrastructure decisions: Temporal orchestration, Kafka event bus, immudb audit store, and the PPSVault / AccountBasicInfoVault / StopChqVault / SignatureVault / MandateVault / ChequeSeriesVault vault family, with CBS as the sole authoritative system of record</w:t>
      </w:r>
    </w:p>
    <w:p>
      <w:pPr>
        <w:pStyle w:val="Heading2"/>
      </w:pPr>
      <w:r>
        <w:t>Why CTS matters to this document specifically</w:t>
      </w:r>
    </w:p>
    <w:p>
      <w:r>
        <w:rPr>
          <w:b w:val="0"/>
        </w:rPr>
        <w:t>CTS is the only module in this document with live production evidence. Every reuse claim made for EJ Intelligence, PRAMAAN, and IBB is a claim about CTS's architecture generalising — worth remembering when weighing how much to trust the reuse economics in Section 7.</w:t>
      </w:r>
    </w:p>
    <w:p/>
    <w:p>
      <w:pPr>
        <w:pStyle w:val="Heading1"/>
      </w:pPr>
      <w:r>
        <w:t>4. Module: EJ Intelligence — ATM Electronic Journal</w:t>
      </w:r>
    </w:p>
    <w:p>
      <w:pPr>
        <w:pStyle w:val="Heading2"/>
      </w:pPr>
      <w:r>
        <w:t>4.1 What EJ Intelligence Is &amp; The Problem It Solves</w:t>
      </w:r>
    </w:p>
    <w:p>
      <w:r>
        <w:rPr>
          <w:b w:val="0"/>
        </w:rPr>
        <w:t>India has over 2.5 lakh ATMs generating Electronic Journal (EJ) logs on every transaction — to the millisecond. Every cash withdrawal, failed dispense, skimming attempt, suspicious engineer visit, and cassette irregularity is recorded. The data exists and is comprehensive. The problem is structural: it cannot be read at scale.</w:t>
      </w:r>
    </w:p>
    <w:p>
      <w:r>
        <w:rPr>
          <w:b w:val="0"/>
        </w:rPr>
        <w:t>Five OEM vendors — NCR Atleos, Diebold Nixdorf, Hyosung, AGS Transact, Euronet — each generate EJ logs in proprietary plaintext formats, with 3–5 active firmware versions per OEM in the field simultaneously. A bank with a mixed fleet of 500 ATMs may face 12–15 distinct EJ dialects. Rule-based parsers are a treadmill: every firmware update potentially breaks an existing parser, silently producing wrong output that nobody notices until a dispute is lost or a compliance audit fails. AI is structurally the only viable solution.</w:t>
      </w:r>
    </w:p>
    <w:tbl>
      <w:tblPr>
        <w:tblStyle w:val="TableGrid"/>
        <w:tblW w:type="auto" w:w="0"/>
        <w:tblLook w:firstColumn="1" w:firstRow="1" w:lastColumn="0" w:lastRow="0" w:noHBand="0" w:noVBand="1" w:val="04A0"/>
      </w:tblPr>
      <w:tblGrid>
        <w:gridCol w:w="4320"/>
        <w:gridCol w:w="4320"/>
      </w:tblGrid>
      <w:tr>
        <w:tc>
          <w:tcPr>
            <w:tcW w:type="dxa" w:w="4320"/>
          </w:tcPr>
          <w:p>
            <w:r>
              <w:t>Market Fact</w:t>
            </w:r>
          </w:p>
        </w:tc>
        <w:tc>
          <w:tcPr>
            <w:tcW w:type="dxa" w:w="4320"/>
          </w:tcPr>
          <w:p>
            <w:r>
              <w:t>Detail</w:t>
            </w:r>
          </w:p>
        </w:tc>
      </w:tr>
      <w:tr>
        <w:tc>
          <w:tcPr>
            <w:tcW w:type="dxa" w:w="4320"/>
          </w:tcPr>
          <w:p>
            <w:r>
              <w:t>2.5 lakh+ ATMs deployed</w:t>
            </w:r>
          </w:p>
        </w:tc>
        <w:tc>
          <w:tcPr>
            <w:tcW w:type="dxa" w:w="4320"/>
          </w:tcPr>
          <w:p>
            <w:r>
              <w:t>RBI mandated CCTV on all; EJ generated on every transaction to the millisecond</w:t>
            </w:r>
          </w:p>
        </w:tc>
      </w:tr>
      <w:tr>
        <w:tc>
          <w:tcPr>
            <w:tcW w:type="dxa" w:w="4320"/>
          </w:tcPr>
          <w:p>
            <w:r>
              <w:t>5+ OEMs, zero standard format</w:t>
            </w:r>
          </w:p>
        </w:tc>
        <w:tc>
          <w:tcPr>
            <w:tcW w:type="dxa" w:w="4320"/>
          </w:tcPr>
          <w:p>
            <w:r>
              <w:t>NCR Atleos, Diebold Nixdorf, Hyosung, AGS Transact, Euronet — each proprietary; 3–5 firmware versions per OEM active simultaneously</w:t>
            </w:r>
          </w:p>
        </w:tc>
      </w:tr>
      <w:tr>
        <w:tc>
          <w:tcPr>
            <w:tcW w:type="dxa" w:w="4320"/>
          </w:tcPr>
          <w:p>
            <w:r>
              <w:t>30–45 day average dispute TAT</w:t>
            </w:r>
          </w:p>
        </w:tc>
        <w:tc>
          <w:tcPr>
            <w:tcW w:type="dxa" w:w="4320"/>
          </w:tcPr>
          <w:p>
            <w:r>
              <w:t>Target is 48 hours; current delay is manual evidence assembly and NPCI arbitration queues</w:t>
            </w:r>
          </w:p>
        </w:tc>
      </w:tr>
      <w:tr>
        <w:tc>
          <w:tcPr>
            <w:tcW w:type="dxa" w:w="4320"/>
          </w:tcPr>
          <w:p>
            <w:r>
              <w:t>₹100 Cr+ annual chargeback losses</w:t>
            </w:r>
          </w:p>
        </w:tc>
        <w:tc>
          <w:tcPr>
            <w:tcW w:type="dxa" w:w="4320"/>
          </w:tcPr>
          <w:p>
            <w:r>
              <w:t>Industry-wide estimate; significant portion lost not because bank was wrong but because evidence couldn't be assembled in time</w:t>
            </w:r>
          </w:p>
        </w:tc>
      </w:tr>
      <w:tr>
        <w:tc>
          <w:tcPr>
            <w:tcW w:type="dxa" w:w="4320"/>
          </w:tcPr>
          <w:p>
            <w:r>
              <w:t>Regulatory risk</w:t>
            </w:r>
          </w:p>
        </w:tc>
        <w:tc>
          <w:tcPr>
            <w:tcW w:type="dxa" w:w="4320"/>
          </w:tcPr>
          <w:p>
            <w:r>
              <w:t>RBI can request 6 months of ATM logs within 24 hours; most banks cannot produce structured response — raw log files with a disclaimer is not compliance</w:t>
            </w:r>
          </w:p>
        </w:tc>
      </w:tr>
    </w:tbl>
    <w:p/>
    <w:p>
      <w:pPr>
        <w:pStyle w:val="Heading2"/>
      </w:pPr>
      <w:r>
        <w:t>4.2 Module Scope — Two Tiers, Sequenced</w:t>
      </w:r>
    </w:p>
    <w:p>
      <w:r>
        <w:rPr>
          <w:b w:val="0"/>
        </w:rPr>
        <w:t>EJ Intelligence has two distinct problem clusters with different buyers, timelines, and complexity. They share the same underlying data layer but must be sequenced, not collapsed.</w:t>
      </w:r>
    </w:p>
    <w:p>
      <w:r>
        <w:rPr>
          <w:b/>
        </w:rPr>
        <w:t>Tier 1 — Dispute Resolution &amp; Compliance (immediate ROI, well-understood buyer — clearing ops team):</w:t>
        <w:br/>
      </w:r>
      <w:r>
        <w:rPr>
          <w:b w:val="0"/>
        </w:rPr>
        <w:t>AI-driven OEM-agnostic EJ normalisation into a canonical hash-chained store. Automated dispute evidence assembly: EJ record + CCTV clip auto-extracted for the exact transaction window. Self-clearing arbitration for the majority of dispute categories (cash dispensed / not dispensed / partial dispense / card capture) — machine-vs-machine evidence matching replaces 30–45 day manual processes. NPCI arbitration portal integration: canonical store exposed via standardised evidence API so NPCI queries directly, no PDF submissions, no bank ops team involvement for clear-cut cases. Customer resolution in 48 hours, not 45 days.</w:t>
      </w:r>
    </w:p>
    <w:p>
      <w:r>
        <w:rPr>
          <w:b/>
        </w:rPr>
        <w:t>Tier 2 — Proactive Fraud Detection &amp; Fleet Intelligence (larger opportunity, different buy centre — fraud ops / security team):</w:t>
        <w:br/>
      </w:r>
      <w:r>
        <w:rPr>
          <w:b w:val="0"/>
        </w:rPr>
        <w:t>On-prem anomaly engine (ONNX runtime, no cloud) scoring every transaction for skimming signatures (characteristic card-read sequences), cash trap patterns (specific dispense-attempt sequences), suspicious engineer access (outside maintenance windows, unknown technician IDs), and cassette swap irregularities. ATM fleet health dashboard with predictive maintenance signals — each 4-hour ATM outage = ₹8–12K in lost transaction fees for a busy machine. Security alert console with CCTV auto-pull on flag. Note: Tier 2 requires Tier 1's canonical data foundation to exist first.</w:t>
      </w:r>
    </w:p>
    <w:p>
      <w:pPr>
        <w:pStyle w:val="Heading2"/>
      </w:pPr>
      <w:r>
        <w:t>4.3 The AI Parsing Pipeline — Raw Log to Canonical Record</w:t>
      </w:r>
    </w:p>
    <w:p>
      <w:r>
        <w:rPr>
          <w:b w:val="0"/>
        </w:rPr>
        <w:t>The three-stage pipeline converts raw OEM log files into canonical records without any ATM-side or switch-side changes. The collector agent works on the bank's existing network share (SFTP, NFS, SMB, or direct path) — no integration project required at the ATM or the switch.</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What Happens</w:t>
            </w:r>
          </w:p>
        </w:tc>
      </w:tr>
      <w:tr>
        <w:tc>
          <w:tcPr>
            <w:tcW w:type="dxa" w:w="4320"/>
          </w:tcPr>
          <w:p>
            <w:r>
              <w:t>Stage 1 — Ingest</w:t>
            </w:r>
          </w:p>
        </w:tc>
        <w:tc>
          <w:tcPr>
            <w:tcW w:type="dxa" w:w="4320"/>
          </w:tcPr>
          <w:p>
            <w:r>
              <w:t>OEM Classifier identifies vendor and firmware version (confidence &gt;0.95 to auto-proceed; below threshold routes to human review queue). Pre-processor handles encoding normalisation, file integrity check, and duplicate detection by file hash.</w:t>
            </w:r>
          </w:p>
        </w:tc>
      </w:tr>
      <w:tr>
        <w:tc>
          <w:tcPr>
            <w:tcW w:type="dxa" w:w="4320"/>
          </w:tcPr>
          <w:p>
            <w:r>
              <w:t>Stage 2 — Extract</w:t>
            </w:r>
          </w:p>
        </w:tc>
        <w:tc>
          <w:tcPr>
            <w:tcW w:type="dxa" w:w="4320"/>
          </w:tcPr>
          <w:p>
            <w:r>
              <w:t>Field Extractor Model (BiLSTM / fine-tuned transformer) extracts all canonical fields with per-field confidence scores. Validator cross-checks internal consistency. Active learning loop: low-confidence records (any field ≤0.85) route to human review UI; every human correction becomes a labeled training sample; model retrained weekly. The data moat compounds — two years of production data across 20 banks is structurally unreplicable without the same investment.</w:t>
            </w:r>
          </w:p>
        </w:tc>
      </w:tr>
      <w:tr>
        <w:tc>
          <w:tcPr>
            <w:tcW w:type="dxa" w:w="4320"/>
          </w:tcPr>
          <w:p>
            <w:r>
              <w:t>Stage 3 — Store &amp; Index</w:t>
            </w:r>
          </w:p>
        </w:tc>
        <w:tc>
          <w:tcPr>
            <w:tcW w:type="dxa" w:w="4320"/>
          </w:tcPr>
          <w:p>
            <w:r>
              <w:t>Canonical store in YugabyteDB — hash-chained records (SHA-256 of previous_hash + all fields), tamper-evident by construction, immutable once written. Redis hot cache indexed on ATM ID, transaction ID, card hash, and date range for sub-second dispute lookups. Anomaly engine runs in-process and flags to the security dashboard.</w:t>
            </w:r>
          </w:p>
        </w:tc>
      </w:tr>
    </w:tbl>
    <w:p/>
    <w:p>
      <w:r>
        <w:rPr>
          <w:b w:val="0"/>
        </w:rPr>
        <w:t>Canonical EJ Record (one schema, every OEM): atm_id, oem, fw_version, txn_id, timestamp (ms precision), txn_type, card_hash (SHA-256 masked), amount_requested, amount_dispensed, dispense_outcome, cassette_id, denomination, error_code, retract_occurred, card_read_attempts, engineer_access_flag, record_hash (chained), parsing_confidence.</w:t>
      </w:r>
    </w:p>
    <w:p/>
    <w:p>
      <w:pPr>
        <w:pStyle w:val="Heading2"/>
      </w:pPr>
      <w:r>
        <w:t>4.4 CCTV Integration — Automated Evidence Extraction</w:t>
      </w:r>
    </w:p>
    <w:p>
      <w:r>
        <w:rPr>
          <w:b w:val="0"/>
        </w:rPr>
        <w:t>Every RBI-mandated ATM has CCTV (typically 1–2 cameras: front-facing customer, cash slot). Today, dispute evidence requires a security officer to manually locate the ATM on the DVR system, identify the time window, clip footage, and submit it. DVR timestamps are frequently miscalibrated; footage is often overwritten before the request is fulfilled. Evidence that should be definitive arrives late, incomplete, or not at all.</w:t>
      </w:r>
    </w:p>
    <w:p>
      <w:r>
        <w:rPr>
          <w:b w:val="0"/>
        </w:rPr>
        <w:t>Our platform automates this completely: the canonical EJ record contains a millisecond-precision transaction timestamp. On dispute flag, the platform automatically: (1) identifies the transaction window from the EJ record; (2) sends an automated retrieval request to the CCTV management system at the ATM site; (3) extracts the relevant clip (e.g. T-30s to T+90s); (4) packages EJ record + CCTV clip + CBS debit record into a single structured evidence bundle; (5) submits to NPCI arbitration or auto-resolves if evidence is unambiguous. CCTV vendor integration via MCP adapter — same pattern as the NGCH adapter in CTS, one adapter per CCTV vendor.</w:t>
      </w:r>
    </w:p>
    <w:p>
      <w:pPr>
        <w:pStyle w:val="Heading2"/>
      </w:pPr>
      <w:r>
        <w:t>4.5 Self-Clearing Arbitration — The End State</w:t>
      </w:r>
    </w:p>
    <w:p>
      <w:r>
        <w:rPr>
          <w:b w:val="0"/>
        </w:rPr>
        <w:t>If all banks adopt canonical EJ and expose a standardised evidence API to NPCI, the arbitration calculus changes fundamentally. NPCI's dispute portal queries the canonical store directly — no bank ops team involvement, no PDF submissions, no waiting for manual evidence assembly.</w:t>
      </w:r>
    </w:p>
    <w:tbl>
      <w:tblPr>
        <w:tblStyle w:val="TableGrid"/>
        <w:tblW w:type="auto" w:w="0"/>
        <w:tblLook w:firstColumn="1" w:firstRow="1" w:lastColumn="0" w:lastRow="0" w:noHBand="0" w:noVBand="1" w:val="04A0"/>
      </w:tblPr>
      <w:tblGrid>
        <w:gridCol w:w="4320"/>
        <w:gridCol w:w="4320"/>
      </w:tblGrid>
      <w:tr>
        <w:tc>
          <w:tcPr>
            <w:tcW w:type="dxa" w:w="4320"/>
          </w:tcPr>
          <w:p>
            <w:r>
              <w:t>Dispute Category</w:t>
            </w:r>
          </w:p>
        </w:tc>
        <w:tc>
          <w:tcPr>
            <w:tcW w:type="dxa" w:w="4320"/>
          </w:tcPr>
          <w:p>
            <w:r>
              <w:t>Self-Clearing Outcome</w:t>
            </w:r>
          </w:p>
        </w:tc>
      </w:tr>
      <w:tr>
        <w:tc>
          <w:tcPr>
            <w:tcW w:type="dxa" w:w="4320"/>
          </w:tcPr>
          <w:p>
            <w:r>
              <w:t>Cash dispensed + card debited</w:t>
            </w:r>
          </w:p>
        </w:tc>
        <w:tc>
          <w:tcPr>
            <w:tcW w:type="dxa" w:w="4320"/>
          </w:tcPr>
          <w:p>
            <w:r>
              <w:t>EJ shows SUCCESS dispense, CBS shows debit. Auto-close — no dispute valid. Customer notified instantly.</w:t>
            </w:r>
          </w:p>
        </w:tc>
      </w:tr>
      <w:tr>
        <w:tc>
          <w:tcPr>
            <w:tcW w:type="dxa" w:w="4320"/>
          </w:tcPr>
          <w:p>
            <w:r>
              <w:t>Cash NOT dispensed + card debited</w:t>
            </w:r>
          </w:p>
        </w:tc>
        <w:tc>
          <w:tcPr>
            <w:tcW w:type="dxa" w:w="4320"/>
          </w:tcPr>
          <w:p>
            <w:r>
              <w:t>EJ shows FAILED/RETRACT, CBS shows debit. Auto-credit customer. Bank files for interchange recovery.</w:t>
            </w:r>
          </w:p>
        </w:tc>
      </w:tr>
      <w:tr>
        <w:tc>
          <w:tcPr>
            <w:tcW w:type="dxa" w:w="4320"/>
          </w:tcPr>
          <w:p>
            <w:r>
              <w:t>Partial dispense + full debit</w:t>
            </w:r>
          </w:p>
        </w:tc>
        <w:tc>
          <w:tcPr>
            <w:tcW w:type="dxa" w:w="4320"/>
          </w:tcPr>
          <w:p>
            <w:r>
              <w:t>EJ shows partial cassette failure mid-dispense. Auto-partial credit for undispensed amount. Maintenance alert raised.</w:t>
            </w:r>
          </w:p>
        </w:tc>
      </w:tr>
      <w:tr>
        <w:tc>
          <w:tcPr>
            <w:tcW w:type="dxa" w:w="4320"/>
          </w:tcPr>
          <w:p>
            <w:r>
              <w:t>Card captured + account not debited</w:t>
            </w:r>
          </w:p>
        </w:tc>
        <w:tc>
          <w:tcPr>
            <w:tcW w:type="dxa" w:w="4320"/>
          </w:tcPr>
          <w:p>
            <w:r>
              <w:t>EJ shows card capture event. Auto-flag for card return or blocking. Customer notified.</w:t>
            </w:r>
          </w:p>
        </w:tc>
      </w:tr>
      <w:tr>
        <w:tc>
          <w:tcPr>
            <w:tcW w:type="dxa" w:w="4320"/>
          </w:tcPr>
          <w:p>
            <w:r>
              <w:t>Disputed amount mismatch</w:t>
            </w:r>
          </w:p>
        </w:tc>
        <w:tc>
          <w:tcPr>
            <w:tcW w:type="dxa" w:w="4320"/>
          </w:tcPr>
          <w:p>
            <w:r>
              <w:t>EJ shows different amount than CBS. Routes to human review with both records surfaced. CCTV evidence auto-pulled.</w:t>
            </w:r>
          </w:p>
        </w:tc>
      </w:tr>
    </w:tbl>
    <w:p/>
    <w:p>
      <w:r>
        <w:rPr>
          <w:b w:val="0"/>
        </w:rPr>
        <w:t>Clear-cut cases — the large majority — auto-resolve within 48 hours. NPCI adjudicators handle only genuine edge cases. Arbitration fees drop. Customer resolution time drops from 45 days to 48 hours.</w:t>
      </w:r>
    </w:p>
    <w:p/>
    <w:p>
      <w:pPr>
        <w:pStyle w:val="Heading2"/>
      </w:pPr>
      <w:r>
        <w:t>4.6 Platform Substrate Reuse</w:t>
      </w:r>
    </w:p>
    <w:tbl>
      <w:tblPr>
        <w:tblStyle w:val="TableGrid"/>
        <w:tblW w:type="auto" w:w="0"/>
        <w:tblLook w:firstColumn="1" w:firstRow="1" w:lastColumn="0" w:lastRow="0" w:noHBand="0" w:noVBand="1" w:val="04A0"/>
      </w:tblPr>
      <w:tblGrid>
        <w:gridCol w:w="4320"/>
        <w:gridCol w:w="4320"/>
      </w:tblGrid>
      <w:tr>
        <w:tc>
          <w:tcPr>
            <w:tcW w:type="dxa" w:w="4320"/>
          </w:tcPr>
          <w:p>
            <w:r>
              <w:t>Platform Component</w:t>
            </w:r>
          </w:p>
        </w:tc>
        <w:tc>
          <w:tcPr>
            <w:tcW w:type="dxa" w:w="4320"/>
          </w:tcPr>
          <w:p>
            <w:r>
              <w:t>EJ Intelligence Usage</w:t>
            </w:r>
          </w:p>
        </w:tc>
      </w:tr>
      <w:tr>
        <w:tc>
          <w:tcPr>
            <w:tcW w:type="dxa" w:w="4320"/>
          </w:tcPr>
          <w:p>
            <w:r>
              <w:t>Temporal exactly-once orchestration</w:t>
            </w:r>
          </w:p>
        </w:tc>
        <w:tc>
          <w:tcPr>
            <w:tcW w:type="dxa" w:w="4320"/>
          </w:tcPr>
          <w:p>
            <w:r>
              <w:t>normalise_workflow, dispute_workflow, atm_health_workflow — same retry/compensation patterns proven in CTS inward workflows</w:t>
            </w:r>
          </w:p>
        </w:tc>
      </w:tr>
      <w:tr>
        <w:tc>
          <w:tcPr>
            <w:tcW w:type="dxa" w:w="4320"/>
          </w:tcPr>
          <w:p>
            <w:r>
              <w:t>immudb Audit Store</w:t>
            </w:r>
          </w:p>
        </w:tc>
        <w:tc>
          <w:tcPr>
            <w:tcW w:type="dxa" w:w="4320"/>
          </w:tcPr>
          <w:p>
            <w:r>
              <w:t>every EJ normalisation event, dispute action, and CCTV retrieval logged to the shared tamper-evident audit trail</w:t>
            </w:r>
          </w:p>
        </w:tc>
      </w:tr>
      <w:tr>
        <w:tc>
          <w:tcPr>
            <w:tcW w:type="dxa" w:w="4320"/>
          </w:tcPr>
          <w:p>
            <w:r>
              <w:t>Identity &amp; Access</w:t>
            </w:r>
          </w:p>
        </w:tc>
        <w:tc>
          <w:tcPr>
            <w:tcW w:type="dxa" w:w="4320"/>
          </w:tcPr>
          <w:p>
            <w:r>
              <w:t>same Login/MFA/RBAC layer; new role atm_ops_manager scoped to fleet and dispute console; no new auth infrastructure required</w:t>
            </w:r>
          </w:p>
        </w:tc>
      </w:tr>
      <w:tr>
        <w:tc>
          <w:tcPr>
            <w:tcW w:type="dxa" w:w="4320"/>
          </w:tcPr>
          <w:p>
            <w:r>
              <w:t>Notification Engine</w:t>
            </w:r>
          </w:p>
        </w:tc>
        <w:tc>
          <w:tcPr>
            <w:tcW w:type="dxa" w:w="4320"/>
          </w:tcPr>
          <w:p>
            <w:r>
              <w:t>fleet alerts (ATM down, fraud flag, cassette irregularity) route through dispatcher.py — same WhatsApp/email channels as CTS</w:t>
            </w:r>
          </w:p>
        </w:tc>
      </w:tr>
      <w:tr>
        <w:tc>
          <w:tcPr>
            <w:tcW w:type="dxa" w:w="4320"/>
          </w:tcPr>
          <w:p>
            <w:r>
              <w:t>Explainable AI</w:t>
            </w:r>
          </w:p>
        </w:tc>
        <w:tc>
          <w:tcPr>
            <w:tcW w:type="dxa" w:w="4320"/>
          </w:tcPr>
          <w:p>
            <w:r>
              <w:t>anomaly scores include field-level explanation of which EJ pattern triggered the flag — same SHAP-class rationale as CTS fraud scoring</w:t>
            </w:r>
          </w:p>
        </w:tc>
      </w:tr>
      <w:tr>
        <w:tc>
          <w:tcPr>
            <w:tcW w:type="dxa" w:w="4320"/>
          </w:tcPr>
          <w:p>
            <w:r>
              <w:t>Sponsor Bank GTM</w:t>
            </w:r>
          </w:p>
        </w:tc>
        <w:tc>
          <w:tcPr>
            <w:tcW w:type="dxa" w:w="4320"/>
          </w:tcPr>
          <w:p>
            <w:r>
              <w:t>banks already on CTS are natural cross-sell targets; the ATM operations desk is reachable from the same CTO relationship</w:t>
            </w:r>
          </w:p>
        </w:tc>
      </w:tr>
    </w:tbl>
    <w:p/>
    <w:p>
      <w:pPr>
        <w:pStyle w:val="Heading2"/>
      </w:pPr>
      <w:r>
        <w:t>4.7 Current Status &amp; Separate Repo Architecture</w:t>
      </w:r>
    </w:p>
    <w:p>
      <w:r>
        <w:rPr>
          <w:b w:val="0"/>
        </w:rPr>
        <w:t>A working prototype of EJ Intelligence exists in the separate atm-ej-platform repository. The separation is intentional and architectural: EJ runs its own Temporal task queues, its own Kubernetes namespace (astra-ej-{bank_id}), its own Kafka topic prefix (ej.*), and its own KEDA scaling objects. It shares only the ASTRA platform substrate — auth, audit, notifications, config service — via the shared library, not by co-deploying into the CTS namespace.</w:t>
      </w:r>
    </w:p>
    <w:p>
      <w:pPr>
        <w:pStyle w:val="ListBullet"/>
      </w:pPr>
      <w:r>
        <w:t>Workflows: EJ normalisation, dispute resolution, ATM health monitoring</w:t>
      </w:r>
    </w:p>
    <w:p>
      <w:pPr>
        <w:pStyle w:val="ListBullet"/>
      </w:pPr>
      <w:r>
        <w:t>API routes: log submission, canonical record retrieval, dispute console, fleet map, fleet alarms, BRE policy manager</w:t>
      </w:r>
    </w:p>
    <w:p>
      <w:pPr>
        <w:pStyle w:val="ListBullet"/>
      </w:pPr>
      <w:r>
        <w:t>UI: EJ Command Center, EJ Dashboard, ATM Fleet Map, Dispute Console, Incident Management, Notification Center</w:t>
      </w:r>
    </w:p>
    <w:p>
      <w:pPr>
        <w:pStyle w:val="ListBullet"/>
      </w:pPr>
      <w:r>
        <w:t>OEM parser corpus: NCR Atleos, Diebold Nixdorf, Hyosung, AGS Transact, Euronet (parser + test corpus per OEM)</w:t>
      </w:r>
    </w:p>
    <w:p>
      <w:pPr>
        <w:pStyle w:val="ListBullet"/>
      </w:pPr>
      <w:r>
        <w:t>CCTV integration: MCP adapter pattern, per-vendor connector (same architecture as NGCH adapter in CTS)</w:t>
      </w:r>
    </w:p>
    <w:p/>
    <w:p>
      <w:pPr>
        <w:pStyle w:val="Heading2"/>
      </w:pPr>
      <w:r>
        <w:t>4.8 Suggested Sequencing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Scope</w:t>
            </w:r>
          </w:p>
        </w:tc>
        <w:tc>
          <w:tcPr>
            <w:tcW w:type="dxa" w:w="2160"/>
          </w:tcPr>
          <w:p>
            <w:r>
              <w:t>Rationale</w:t>
            </w:r>
          </w:p>
        </w:tc>
        <w:tc>
          <w:tcPr>
            <w:tcW w:type="dxa" w:w="2160"/>
          </w:tcPr>
          <w:p>
            <w:r>
              <w:t>Reused from ASTRA</w:t>
            </w:r>
          </w:p>
        </w:tc>
      </w:tr>
      <w:tr>
        <w:tc>
          <w:tcPr>
            <w:tcW w:type="dxa" w:w="2160"/>
          </w:tcPr>
          <w:p>
            <w:r>
              <w:t>Prototype (exists)</w:t>
            </w:r>
          </w:p>
        </w:tc>
        <w:tc>
          <w:tcPr>
            <w:tcW w:type="dxa" w:w="2160"/>
          </w:tcPr>
          <w:p>
            <w:r>
              <w:t>EJ normalisation + dispute console + fleet health</w:t>
            </w:r>
          </w:p>
        </w:tc>
        <w:tc>
          <w:tcPr>
            <w:tcW w:type="dxa" w:w="2160"/>
          </w:tcPr>
          <w:p>
            <w:r>
              <w:t>Reference implementation in atm-ej-platform</w:t>
            </w:r>
          </w:p>
        </w:tc>
        <w:tc>
          <w:tcPr>
            <w:tcW w:type="dxa" w:w="2160"/>
          </w:tcPr>
          <w:p>
            <w:r>
              <w:t>— source</w:t>
            </w:r>
          </w:p>
        </w:tc>
      </w:tr>
      <w:tr>
        <w:tc>
          <w:tcPr>
            <w:tcW w:type="dxa" w:w="2160"/>
          </w:tcPr>
          <w:p>
            <w:r>
              <w:t>Tier 1 Pilot</w:t>
            </w:r>
          </w:p>
        </w:tc>
        <w:tc>
          <w:tcPr>
            <w:tcW w:type="dxa" w:w="2160"/>
          </w:tcPr>
          <w:p>
            <w:r>
              <w:t>Deploy at one CTS reference bank; live EJ log ingestion + dispute evidence assembly</w:t>
            </w:r>
          </w:p>
        </w:tc>
        <w:tc>
          <w:tcPr>
            <w:tcW w:type="dxa" w:w="2160"/>
          </w:tcPr>
          <w:p>
            <w:r>
              <w:t>Fastest path to live reference case; same CTO relationship, no new sales cycle</w:t>
            </w:r>
          </w:p>
        </w:tc>
        <w:tc>
          <w:tcPr>
            <w:tcW w:type="dxa" w:w="2160"/>
          </w:tcPr>
          <w:p>
            <w:r>
              <w:t>Temporal, immudb, auth, notifications</w:t>
            </w:r>
          </w:p>
        </w:tc>
      </w:tr>
      <w:tr>
        <w:tc>
          <w:tcPr>
            <w:tcW w:type="dxa" w:w="2160"/>
          </w:tcPr>
          <w:p>
            <w:r>
              <w:t>Tier 1 Full</w:t>
            </w:r>
          </w:p>
        </w:tc>
        <w:tc>
          <w:tcPr>
            <w:tcW w:type="dxa" w:w="2160"/>
          </w:tcPr>
          <w:p>
            <w:r>
              <w:t>NPCI evidence API integration; self-clearing for clear-cut categories</w:t>
            </w:r>
          </w:p>
        </w:tc>
        <w:tc>
          <w:tcPr>
            <w:tcW w:type="dxa" w:w="2160"/>
          </w:tcPr>
          <w:p>
            <w:r>
              <w:t>Highest customer-visible ROI; NPCI arbitration fees reduction</w:t>
            </w:r>
          </w:p>
        </w:tc>
        <w:tc>
          <w:tcPr>
            <w:tcW w:type="dxa" w:w="2160"/>
          </w:tcPr>
          <w:p>
            <w:r>
              <w:t>+ Reconciliation Engine (dispute codes)</w:t>
            </w:r>
          </w:p>
        </w:tc>
      </w:tr>
      <w:tr>
        <w:tc>
          <w:tcPr>
            <w:tcW w:type="dxa" w:w="2160"/>
          </w:tcPr>
          <w:p>
            <w:r>
              <w:t>Tier 2</w:t>
            </w:r>
          </w:p>
        </w:tc>
        <w:tc>
          <w:tcPr>
            <w:tcW w:type="dxa" w:w="2160"/>
          </w:tcPr>
          <w:p>
            <w:r>
              <w:t>Anomaly engine; fleet health ML; proactive fraud alerts</w:t>
            </w:r>
          </w:p>
        </w:tc>
        <w:tc>
          <w:tcPr>
            <w:tcW w:type="dxa" w:w="2160"/>
          </w:tcPr>
          <w:p>
            <w:r>
              <w:t>Different buy centre (fraud ops); requires Tier 1 data foundation first</w:t>
            </w:r>
          </w:p>
        </w:tc>
        <w:tc>
          <w:tcPr>
            <w:tcW w:type="dxa" w:w="2160"/>
          </w:tcPr>
          <w:p>
            <w:r>
              <w:t>Full stack + Explainable AI</w:t>
            </w:r>
          </w:p>
        </w:tc>
      </w:tr>
    </w:tbl>
    <w:p/>
    <w:p>
      <w:pPr>
        <w:pStyle w:val="Heading1"/>
      </w:pPr>
      <w:r>
        <w:t>5. Module: PRAMAAN — Regulatory Reporting Orchestration</w:t>
      </w:r>
    </w:p>
    <w:p>
      <w:pPr>
        <w:pStyle w:val="Heading2"/>
      </w:pPr>
      <w:r>
        <w:t>5.1 What PRAMAAN Is &amp; Report Categories</w:t>
      </w:r>
    </w:p>
    <w:p>
      <w:r>
        <w:rPr>
          <w:b w:val="0"/>
        </w:rPr>
        <w:t>PRAMAAN (प्रमाण — proof, evidence, certification) takes any regulator-mandated report through the same six stages: extract from CBS, transform to the target's mandated schema, validate, transmit, reconcile the response, and attest immutably. Seven categories of reporting obligation fall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Authority</w:t>
            </w:r>
          </w:p>
        </w:tc>
        <w:tc>
          <w:tcPr>
            <w:tcW w:type="dxa" w:w="2160"/>
          </w:tcPr>
          <w:p>
            <w:r>
              <w:t>Representative Reports</w:t>
            </w:r>
          </w:p>
        </w:tc>
        <w:tc>
          <w:tcPr>
            <w:tcW w:type="dxa" w:w="2160"/>
          </w:tcPr>
          <w:p>
            <w:r>
              <w:t>Data Nature</w:t>
            </w:r>
          </w:p>
        </w:tc>
      </w:tr>
      <w:tr>
        <w:tc>
          <w:tcPr>
            <w:tcW w:type="dxa" w:w="2160"/>
          </w:tcPr>
          <w:p>
            <w:r>
              <w:t>Credit Bureau</w:t>
            </w:r>
          </w:p>
        </w:tc>
        <w:tc>
          <w:tcPr>
            <w:tcW w:type="dxa" w:w="2160"/>
          </w:tcPr>
          <w:p>
            <w:r>
              <w:t>CIC — CIBIL, Equifax, Experian, CRIF</w:t>
            </w:r>
          </w:p>
        </w:tc>
        <w:tc>
          <w:tcPr>
            <w:tcW w:type="dxa" w:w="2160"/>
          </w:tcPr>
          <w:p>
            <w:r>
              <w:t>UCRF Form 1/2/3</w:t>
            </w:r>
          </w:p>
        </w:tc>
        <w:tc>
          <w:tcPr>
            <w:tcW w:type="dxa" w:w="2160"/>
          </w:tcPr>
          <w:p>
            <w:r>
              <w:t>Borrower-level, fortnightly</w:t>
            </w:r>
          </w:p>
        </w:tc>
      </w:tr>
      <w:tr>
        <w:tc>
          <w:tcPr>
            <w:tcW w:type="dxa" w:w="2160"/>
          </w:tcPr>
          <w:p>
            <w:r>
              <w:t>Systemic Risk</w:t>
            </w:r>
          </w:p>
        </w:tc>
        <w:tc>
          <w:tcPr>
            <w:tcW w:type="dxa" w:w="2160"/>
          </w:tcPr>
          <w:p>
            <w:r>
              <w:t>RBI — CRILC</w:t>
            </w:r>
          </w:p>
        </w:tc>
        <w:tc>
          <w:tcPr>
            <w:tcW w:type="dxa" w:w="2160"/>
          </w:tcPr>
          <w:p>
            <w:r>
              <w:t>Large exposure, SMA-0/1/2</w:t>
            </w:r>
          </w:p>
        </w:tc>
        <w:tc>
          <w:tcPr>
            <w:tcW w:type="dxa" w:w="2160"/>
          </w:tcPr>
          <w:p>
            <w:r>
              <w:t>Exposure-level, periodic</w:t>
            </w:r>
          </w:p>
        </w:tc>
      </w:tr>
      <w:tr>
        <w:tc>
          <w:tcPr>
            <w:tcW w:type="dxa" w:w="2160"/>
          </w:tcPr>
          <w:p>
            <w:r>
              <w:t>Registry &amp; Identity</w:t>
            </w:r>
          </w:p>
        </w:tc>
        <w:tc>
          <w:tcPr>
            <w:tcW w:type="dxa" w:w="2160"/>
          </w:tcPr>
          <w:p>
            <w:r>
              <w:t>CKYCR, CERSAI, MCA</w:t>
            </w:r>
          </w:p>
        </w:tc>
        <w:tc>
          <w:tcPr>
            <w:tcW w:type="dxa" w:w="2160"/>
          </w:tcPr>
          <w:p>
            <w:r>
              <w:t>KYC, charge registration</w:t>
            </w:r>
          </w:p>
        </w:tc>
        <w:tc>
          <w:tcPr>
            <w:tcW w:type="dxa" w:w="2160"/>
          </w:tcPr>
          <w:p>
            <w:r>
              <w:t>Event-triggered</w:t>
            </w:r>
          </w:p>
        </w:tc>
      </w:tr>
      <w:tr>
        <w:tc>
          <w:tcPr>
            <w:tcW w:type="dxa" w:w="2160"/>
          </w:tcPr>
          <w:p>
            <w:r>
              <w:t>Unclaimed Assets</w:t>
            </w:r>
          </w:p>
        </w:tc>
        <w:tc>
          <w:tcPr>
            <w:tcW w:type="dxa" w:w="2160"/>
          </w:tcPr>
          <w:p>
            <w:r>
              <w:t>RBI — DEAF</w:t>
            </w:r>
          </w:p>
        </w:tc>
        <w:tc>
          <w:tcPr>
            <w:tcW w:type="dxa" w:w="2160"/>
          </w:tcPr>
          <w:p>
            <w:r>
              <w:t>Unclaimed deposits</w:t>
            </w:r>
          </w:p>
        </w:tc>
        <w:tc>
          <w:tcPr>
            <w:tcW w:type="dxa" w:w="2160"/>
          </w:tcPr>
          <w:p>
            <w:r>
              <w:t>Account-level, periodic</w:t>
            </w:r>
          </w:p>
        </w:tc>
      </w:tr>
      <w:tr>
        <w:tc>
          <w:tcPr>
            <w:tcW w:type="dxa" w:w="2160"/>
          </w:tcPr>
          <w:p>
            <w:r>
              <w:t>AML / FIU</w:t>
            </w:r>
          </w:p>
        </w:tc>
        <w:tc>
          <w:tcPr>
            <w:tcW w:type="dxa" w:w="2160"/>
          </w:tcPr>
          <w:p>
            <w:r>
              <w:t>FIU-IND</w:t>
            </w:r>
          </w:p>
        </w:tc>
        <w:tc>
          <w:tcPr>
            <w:tcW w:type="dxa" w:w="2160"/>
          </w:tcPr>
          <w:p>
            <w:r>
              <w:t>STR, CTR, CCR</w:t>
            </w:r>
          </w:p>
        </w:tc>
        <w:tc>
          <w:tcPr>
            <w:tcW w:type="dxa" w:w="2160"/>
          </w:tcPr>
          <w:p>
            <w:r>
              <w:t>Transaction, time-critical</w:t>
            </w:r>
          </w:p>
        </w:tc>
      </w:tr>
      <w:tr>
        <w:tc>
          <w:tcPr>
            <w:tcW w:type="dxa" w:w="2160"/>
          </w:tcPr>
          <w:p>
            <w:r>
              <w:t>Statistical / Prudential</w:t>
            </w:r>
          </w:p>
        </w:tc>
        <w:tc>
          <w:tcPr>
            <w:tcW w:type="dxa" w:w="2160"/>
          </w:tcPr>
          <w:p>
            <w:r>
              <w:t>RBI — DSB, XBRL</w:t>
            </w:r>
          </w:p>
        </w:tc>
        <w:tc>
          <w:tcPr>
            <w:tcW w:type="dxa" w:w="2160"/>
          </w:tcPr>
          <w:p>
            <w:r>
              <w:t>BSR-1/2, Basel III</w:t>
            </w:r>
          </w:p>
        </w:tc>
        <w:tc>
          <w:tcPr>
            <w:tcW w:type="dxa" w:w="2160"/>
          </w:tcPr>
          <w:p>
            <w:r>
              <w:t>Aggregate, monthly/qtly</w:t>
            </w:r>
          </w:p>
        </w:tc>
      </w:tr>
      <w:tr>
        <w:tc>
          <w:tcPr>
            <w:tcW w:type="dxa" w:w="2160"/>
          </w:tcPr>
          <w:p>
            <w:r>
              <w:t>Instrument Clearing</w:t>
            </w:r>
          </w:p>
        </w:tc>
        <w:tc>
          <w:tcPr>
            <w:tcW w:type="dxa" w:w="2160"/>
          </w:tcPr>
          <w:p>
            <w:r>
              <w:t>NPCI — NGCH/CTS</w:t>
            </w:r>
          </w:p>
        </w:tc>
        <w:tc>
          <w:tcPr>
            <w:tcW w:type="dxa" w:w="2160"/>
          </w:tcPr>
          <w:p>
            <w:r>
              <w:t>Cheque, commercial paper</w:t>
            </w:r>
          </w:p>
        </w:tc>
        <w:tc>
          <w:tcPr>
            <w:tcW w:type="dxa" w:w="2160"/>
          </w:tcPr>
          <w:p>
            <w:r>
              <w:t>Instrument, near-real-time</w:t>
            </w:r>
          </w:p>
        </w:tc>
      </w:tr>
    </w:tbl>
    <w:p/>
    <w:p>
      <w:pPr>
        <w:pStyle w:val="Heading2"/>
      </w:pPr>
      <w:r>
        <w:t>5.2 Priority Tiers</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What's In It</w:t>
            </w:r>
          </w:p>
        </w:tc>
        <w:tc>
          <w:tcPr>
            <w:tcW w:type="dxa" w:w="2880"/>
          </w:tcPr>
          <w:p>
            <w:r>
              <w:t>Design Implication</w:t>
            </w:r>
          </w:p>
        </w:tc>
      </w:tr>
      <w:tr>
        <w:tc>
          <w:tcPr>
            <w:tcW w:type="dxa" w:w="2880"/>
          </w:tcPr>
          <w:p>
            <w:r>
              <w:t>Tier 1 — Zero Tolerance</w:t>
            </w:r>
          </w:p>
        </w:tc>
        <w:tc>
          <w:tcPr>
            <w:tcW w:type="dxa" w:w="2880"/>
          </w:tcPr>
          <w:p>
            <w:r>
              <w:t>CRILC, FIU-IND (STR/CTR) — direct supervisory action risk, criminal-liability exposure for AML lapses</w:t>
            </w:r>
          </w:p>
        </w:tc>
        <w:tc>
          <w:tcPr>
            <w:tcW w:type="dxa" w:w="2880"/>
          </w:tcPr>
          <w:p>
            <w:r>
              <w:t>Tightest access control, fastest SLA, no auto-close without human sign-off</w:t>
            </w:r>
          </w:p>
        </w:tc>
      </w:tr>
      <w:tr>
        <w:tc>
          <w:tcPr>
            <w:tcW w:type="dxa" w:w="2880"/>
          </w:tcPr>
          <w:p>
            <w:r>
              <w:t>Tier 2 — Statutory Penalty</w:t>
            </w:r>
          </w:p>
        </w:tc>
        <w:tc>
          <w:tcPr>
            <w:tcW w:type="dxa" w:w="2880"/>
          </w:tcPr>
          <w:p>
            <w:r>
              <w:t>CIC/UCRF, CERSAI, CKYCR — explicit ₹100/day compensation clauses, monthly DQI visible to RBI</w:t>
            </w:r>
          </w:p>
        </w:tc>
        <w:tc>
          <w:tcPr>
            <w:tcW w:type="dxa" w:w="2880"/>
          </w:tcPr>
          <w:p>
            <w:r>
              <w:t>Highest volume, fortnightly — biggest automation ROI</w:t>
            </w:r>
          </w:p>
        </w:tc>
      </w:tr>
      <w:tr>
        <w:tc>
          <w:tcPr>
            <w:tcW w:type="dxa" w:w="2880"/>
          </w:tcPr>
          <w:p>
            <w:r>
              <w:t>Tier 3 — Audit-Cycle Risk</w:t>
            </w:r>
          </w:p>
        </w:tc>
        <w:tc>
          <w:tcPr>
            <w:tcW w:type="dxa" w:w="2880"/>
          </w:tcPr>
          <w:p>
            <w:r>
              <w:t>BSR, XBRL/DSB, Basel returns — errors surface at inspection, not real time</w:t>
            </w:r>
          </w:p>
        </w:tc>
        <w:tc>
          <w:tcPr>
            <w:tcW w:type="dxa" w:w="2880"/>
          </w:tcPr>
          <w:p>
            <w:r>
              <w:t>Lower frequency, higher structural complexity</w:t>
            </w:r>
          </w:p>
        </w:tc>
      </w:tr>
      <w:tr>
        <w:tc>
          <w:tcPr>
            <w:tcW w:type="dxa" w:w="2880"/>
          </w:tcPr>
          <w:p>
            <w:r>
              <w:t>Tier 4 — Informational</w:t>
            </w:r>
          </w:p>
        </w:tc>
        <w:tc>
          <w:tcPr>
            <w:tcW w:type="dxa" w:w="2880"/>
          </w:tcPr>
          <w:p>
            <w:r>
              <w:t>DEAF, DIN cross-reference, SARFAESI disclosures</w:t>
            </w:r>
          </w:p>
        </w:tc>
        <w:tc>
          <w:tcPr>
            <w:tcW w:type="dxa" w:w="2880"/>
          </w:tcPr>
          <w:p>
            <w:r>
              <w:t>Good early-automation wins, low risk</w:t>
            </w:r>
          </w:p>
        </w:tc>
      </w:tr>
    </w:tbl>
    <w:p/>
    <w:p>
      <w:pPr>
        <w:pStyle w:val="Heading2"/>
      </w:pPr>
      <w:r>
        <w:t>5.3 Exception Manager &amp; Ops Dashboard</w:t>
      </w:r>
    </w:p>
    <w:p>
      <w:pPr>
        <w:pStyle w:val="ListBullet"/>
      </w:pPr>
      <w:r>
        <w:t>Exception Manager: normalises CIC/CRILC/XBRL/FIU-IND rejection codes into one internal schema; auto-classifies severity by Tier, starting the correct statutory SLA clock automatically; deterministic errors auto-correct and resubmit, ambiguous ones route to a human queue; feeds the Master Direction's mandated half-yearly Root Cause Analysis as a system byproduct rather than manual work</w:t>
      </w:r>
    </w:p>
    <w:p>
      <w:pPr>
        <w:pStyle w:val="ListBullet"/>
      </w:pPr>
      <w:r>
        <w:t>Reporting Ops Dashboard: single pane across all seven categories — compliance calendar, DQI trending against the half-yearly industry benchmark, submission health with amber-before-red SLA warnings, and a direct export for the mandated two-month top-management DQI report</w:t>
      </w:r>
    </w:p>
    <w:p>
      <w:pPr>
        <w:pStyle w:val="Heading2"/>
      </w:pPr>
      <w:r>
        <w:t>5.4 Suggested Sequencing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Scope</w:t>
            </w:r>
          </w:p>
        </w:tc>
        <w:tc>
          <w:tcPr>
            <w:tcW w:type="dxa" w:w="2160"/>
          </w:tcPr>
          <w:p>
            <w:r>
              <w:t>Rationale</w:t>
            </w:r>
          </w:p>
        </w:tc>
        <w:tc>
          <w:tcPr>
            <w:tcW w:type="dxa" w:w="2160"/>
          </w:tcPr>
          <w:p>
            <w:r>
              <w:t>Reused</w:t>
            </w:r>
          </w:p>
        </w:tc>
      </w:tr>
      <w:tr>
        <w:tc>
          <w:tcPr>
            <w:tcW w:type="dxa" w:w="2160"/>
          </w:tcPr>
          <w:p>
            <w:r>
              <w:t>0</w:t>
            </w:r>
          </w:p>
        </w:tc>
        <w:tc>
          <w:tcPr>
            <w:tcW w:type="dxa" w:w="2160"/>
          </w:tcPr>
          <w:p>
            <w:r>
              <w:t>Cheque processing (live)</w:t>
            </w:r>
          </w:p>
        </w:tc>
        <w:tc>
          <w:tcPr>
            <w:tcW w:type="dxa" w:w="2160"/>
          </w:tcPr>
          <w:p>
            <w:r>
              <w:t>Reference implementation</w:t>
            </w:r>
          </w:p>
        </w:tc>
        <w:tc>
          <w:tcPr>
            <w:tcW w:type="dxa" w:w="2160"/>
          </w:tcPr>
          <w:p>
            <w:r>
              <w:t>— source</w:t>
            </w:r>
          </w:p>
        </w:tc>
      </w:tr>
      <w:tr>
        <w:tc>
          <w:tcPr>
            <w:tcW w:type="dxa" w:w="2160"/>
          </w:tcPr>
          <w:p>
            <w:r>
              <w:t>1</w:t>
            </w:r>
          </w:p>
        </w:tc>
        <w:tc>
          <w:tcPr>
            <w:tcW w:type="dxa" w:w="2160"/>
          </w:tcPr>
          <w:p>
            <w:r>
              <w:t>Tier 4 quick wins</w:t>
            </w:r>
          </w:p>
        </w:tc>
        <w:tc>
          <w:tcPr>
            <w:tcW w:type="dxa" w:w="2160"/>
          </w:tcPr>
          <w:p>
            <w:r>
              <w:t>Low risk, fast, builds confidence</w:t>
            </w:r>
          </w:p>
        </w:tc>
        <w:tc>
          <w:tcPr>
            <w:tcW w:type="dxa" w:w="2160"/>
          </w:tcPr>
          <w:p>
            <w:r>
              <w:t>Temporal, Kafka, immudb</w:t>
            </w:r>
          </w:p>
        </w:tc>
      </w:tr>
      <w:tr>
        <w:tc>
          <w:tcPr>
            <w:tcW w:type="dxa" w:w="2160"/>
          </w:tcPr>
          <w:p>
            <w:r>
              <w:t>2</w:t>
            </w:r>
          </w:p>
        </w:tc>
        <w:tc>
          <w:tcPr>
            <w:tcW w:type="dxa" w:w="2160"/>
          </w:tcPr>
          <w:p>
            <w:r>
              <w:t>Tier 2 — CIC/UCRF</w:t>
            </w:r>
          </w:p>
        </w:tc>
        <w:tc>
          <w:tcPr>
            <w:tcW w:type="dxa" w:w="2160"/>
          </w:tcPr>
          <w:p>
            <w:r>
              <w:t>Highest volume, clearest ROI</w:t>
            </w:r>
          </w:p>
        </w:tc>
        <w:tc>
          <w:tcPr>
            <w:tcW w:type="dxa" w:w="2160"/>
          </w:tcPr>
          <w:p>
            <w:r>
              <w:t>+ Exception Mgr, Dashboard</w:t>
            </w:r>
          </w:p>
        </w:tc>
      </w:tr>
      <w:tr>
        <w:tc>
          <w:tcPr>
            <w:tcW w:type="dxa" w:w="2160"/>
          </w:tcPr>
          <w:p>
            <w:r>
              <w:t>3</w:t>
            </w:r>
          </w:p>
        </w:tc>
        <w:tc>
          <w:tcPr>
            <w:tcW w:type="dxa" w:w="2160"/>
          </w:tcPr>
          <w:p>
            <w:r>
              <w:t>Tier 1 — CRILC, FIU-IND</w:t>
            </w:r>
          </w:p>
        </w:tc>
        <w:tc>
          <w:tcPr>
            <w:tcW w:type="dxa" w:w="2160"/>
          </w:tcPr>
          <w:p>
            <w:r>
              <w:t>Highest stakes, build once proven</w:t>
            </w:r>
          </w:p>
        </w:tc>
        <w:tc>
          <w:tcPr>
            <w:tcW w:type="dxa" w:w="2160"/>
          </w:tcPr>
          <w:p>
            <w:r>
              <w:t>Full stack, parallel instance</w:t>
            </w:r>
          </w:p>
        </w:tc>
      </w:tr>
      <w:tr>
        <w:tc>
          <w:tcPr>
            <w:tcW w:type="dxa" w:w="2160"/>
          </w:tcPr>
          <w:p>
            <w:r>
              <w:t>4</w:t>
            </w:r>
          </w:p>
        </w:tc>
        <w:tc>
          <w:tcPr>
            <w:tcW w:type="dxa" w:w="2160"/>
          </w:tcPr>
          <w:p>
            <w:r>
              <w:t>Tier 3 — BSR, XBRL, Basel</w:t>
            </w:r>
          </w:p>
        </w:tc>
        <w:tc>
          <w:tcPr>
            <w:tcW w:type="dxa" w:w="2160"/>
          </w:tcPr>
          <w:p>
            <w:r>
              <w:t>Complex, lower time-pressure</w:t>
            </w:r>
          </w:p>
        </w:tc>
        <w:tc>
          <w:tcPr>
            <w:tcW w:type="dxa" w:w="2160"/>
          </w:tcPr>
          <w:p>
            <w:r>
              <w:t>Full stack</w:t>
            </w:r>
          </w:p>
        </w:tc>
      </w:tr>
    </w:tbl>
    <w:p/>
    <w:p>
      <w:pPr>
        <w:pStyle w:val="Heading1"/>
      </w:pPr>
      <w:r>
        <w:t>6. Module: Integrated Business Banking (IBB)</w:t>
      </w:r>
    </w:p>
    <w:p>
      <w:pPr>
        <w:pStyle w:val="Heading2"/>
      </w:pPr>
      <w:r>
        <w:t>6.1 What IBB Is &amp; Why ASTRA Fits</w:t>
      </w:r>
    </w:p>
    <w:p>
      <w:r>
        <w:rPr>
          <w:b w:val="0"/>
        </w:rPr>
        <w:t>IBB is ASTRA's name for what the market calls Connected Banking / API Corporate Banking — the shift from a corporate treasury logging into net-banking to their ERP/TMS talking to the bank directly for real-time balances, ERP-initiated payments (NEFT/RTGS/IMPS/UPI), auto-reconciliation, Virtual Account Management, multi-bank cash positioning, and (increasingly) Account Aggregator-based consent-driven data sharing.</w:t>
      </w:r>
    </w:p>
    <w:p>
      <w:r>
        <w:rPr>
          <w:b w:val="0"/>
        </w:rPr>
        <w:t>Today this space is dominated by cloud-SaaS Technology Service Providers (Cashfree, Yes Bank API Banking, RBL, ICICI Connected Banking) — all sitting outside the bank's own data boundary. Every architectural bet ASTRA made for CTS translates directly onto this problem:</w:t>
      </w:r>
    </w:p>
    <w:tbl>
      <w:tblPr>
        <w:tblStyle w:val="TableGrid"/>
        <w:tblW w:type="auto" w:w="0"/>
        <w:tblLook w:firstColumn="1" w:firstRow="1" w:lastColumn="0" w:lastRow="0" w:noHBand="0" w:noVBand="1" w:val="04A0"/>
      </w:tblPr>
      <w:tblGrid>
        <w:gridCol w:w="4320"/>
        <w:gridCol w:w="4320"/>
      </w:tblGrid>
      <w:tr>
        <w:tc>
          <w:tcPr>
            <w:tcW w:type="dxa" w:w="4320"/>
          </w:tcPr>
          <w:p>
            <w:r>
              <w:t>ASTRA Pillar</w:t>
            </w:r>
          </w:p>
        </w:tc>
        <w:tc>
          <w:tcPr>
            <w:tcW w:type="dxa" w:w="4320"/>
          </w:tcPr>
          <w:p>
            <w:r>
              <w:t>IBB Translation</w:t>
            </w:r>
          </w:p>
        </w:tc>
      </w:tr>
      <w:tr>
        <w:tc>
          <w:tcPr>
            <w:tcW w:type="dxa" w:w="4320"/>
          </w:tcPr>
          <w:p>
            <w:r>
              <w:t>Miniature Vault</w:t>
            </w:r>
          </w:p>
        </w:tc>
        <w:tc>
          <w:tcPr>
            <w:tcW w:type="dxa" w:w="4320"/>
          </w:tcPr>
          <w:p>
            <w:r>
              <w:t>Balance/mandate/beneficiary/VAM vault synced from CBS — sub-5ms responses are table stakes for ERP integrations</w:t>
            </w:r>
          </w:p>
        </w:tc>
      </w:tr>
      <w:tr>
        <w:tc>
          <w:tcPr>
            <w:tcW w:type="dxa" w:w="4320"/>
          </w:tcPr>
          <w:p>
            <w:r>
              <w:t>Exactly-once Temporal engine</w:t>
            </w:r>
          </w:p>
        </w:tc>
        <w:tc>
          <w:tcPr>
            <w:tcW w:type="dxa" w:w="4320"/>
          </w:tcPr>
          <w:p>
            <w:r>
              <w:t>Idempotent NEFT/RTGS/IMPS/UPI payment initiation — no duplicate vendor payments on retry, the #1 corporate-banking incident</w:t>
            </w:r>
          </w:p>
        </w:tc>
      </w:tr>
      <w:tr>
        <w:tc>
          <w:tcPr>
            <w:tcW w:type="dxa" w:w="4320"/>
          </w:tcPr>
          <w:p>
            <w:r>
              <w:t>RRF-style evidence generation</w:t>
            </w:r>
          </w:p>
        </w:tc>
        <w:tc>
          <w:tcPr>
            <w:tcW w:type="dxa" w:w="4320"/>
          </w:tcPr>
          <w:p>
            <w:r>
              <w:t>Unified reconciliation across all rails — same evidence pattern, wider code set to normalise</w:t>
            </w:r>
          </w:p>
        </w:tc>
      </w:tr>
      <w:tr>
        <w:tc>
          <w:tcPr>
            <w:tcW w:type="dxa" w:w="4320"/>
          </w:tcPr>
          <w:p>
            <w:r>
              <w:t>Fraud scoring + SHAP</w:t>
            </w:r>
          </w:p>
        </w:tc>
        <w:tc>
          <w:tcPr>
            <w:tcW w:type="dxa" w:w="4320"/>
          </w:tcPr>
          <w:p>
            <w:r>
              <w:t>Beneficiary-change / high-value payment anomaly detection — vendor-account-switch fraud is the #1 corporate fraud vector today</w:t>
            </w:r>
          </w:p>
        </w:tc>
      </w:tr>
      <w:tr>
        <w:tc>
          <w:tcPr>
            <w:tcW w:type="dxa" w:w="4320"/>
          </w:tcPr>
          <w:p>
            <w:r>
              <w:t>Vision LLM + multi-OCR</w:t>
            </w:r>
          </w:p>
        </w:tc>
        <w:tc>
          <w:tcPr>
            <w:tcW w:type="dxa" w:w="4320"/>
          </w:tcPr>
          <w:p>
            <w:r>
              <w:t>Trade finance document AI — LC, BG, invoices, BoL — underserved workflow reusing an existing investment</w:t>
            </w:r>
          </w:p>
        </w:tc>
      </w:tr>
      <w:tr>
        <w:tc>
          <w:tcPr>
            <w:tcW w:type="dxa" w:w="4320"/>
          </w:tcPr>
          <w:p>
            <w:r>
              <w:t>On-prem, air-gapped</w:t>
            </w:r>
          </w:p>
        </w:tc>
        <w:tc>
          <w:tcPr>
            <w:tcW w:type="dxa" w:w="4320"/>
          </w:tcPr>
          <w:p>
            <w:r>
              <w:t>The one thing no existing TSP offers — data-residency mandates favour a bank-owned layer over cloud vendors</w:t>
            </w:r>
          </w:p>
        </w:tc>
      </w:tr>
      <w:tr>
        <w:tc>
          <w:tcPr>
            <w:tcW w:type="dxa" w:w="4320"/>
          </w:tcPr>
          <w:p>
            <w:r>
              <w:t>Sponsor Bank distribution</w:t>
            </w:r>
          </w:p>
        </w:tc>
        <w:tc>
          <w:tcPr>
            <w:tcW w:type="dxa" w:w="4320"/>
          </w:tcPr>
          <w:p>
            <w:r>
              <w:t>Same GTM motion, cross-sell to treasury desk — banks already landed via CTS need no second sales cycle</w:t>
            </w:r>
          </w:p>
        </w:tc>
      </w:tr>
    </w:tbl>
    <w:p/>
    <w:p>
      <w:pPr>
        <w:pStyle w:val="Heading2"/>
      </w:pPr>
      <w:r>
        <w:t>6.2 Build-Sequence Tiers</w:t>
      </w:r>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Scope</w:t>
            </w:r>
          </w:p>
        </w:tc>
      </w:tr>
      <w:tr>
        <w:tc>
          <w:tcPr>
            <w:tcW w:type="dxa" w:w="4320"/>
          </w:tcPr>
          <w:p>
            <w:r>
              <w:t>A — Foundation</w:t>
            </w:r>
          </w:p>
        </w:tc>
        <w:tc>
          <w:tcPr>
            <w:tcW w:type="dxa" w:w="4320"/>
          </w:tcPr>
          <w:p>
            <w:r>
              <w:t>Corporate Payments Vault, ERP Connector Layer (read-only first) — lowest risk, fastest demo, mirrors CTS's proven 'read-only first' trust-building sequence</w:t>
            </w:r>
          </w:p>
        </w:tc>
      </w:tr>
      <w:tr>
        <w:tc>
          <w:tcPr>
            <w:tcW w:type="dxa" w:w="4320"/>
          </w:tcPr>
          <w:p>
            <w:r>
              <w:t>B — Core Differentiator</w:t>
            </w:r>
          </w:p>
        </w:tc>
        <w:tc>
          <w:tcPr>
            <w:tcW w:type="dxa" w:w="4320"/>
          </w:tcPr>
          <w:p>
            <w:r>
              <w:t>Idempotent payment initiation + Unified Reconciliation Engine — highest revenue relevance, directly addresses treasury's #1 complaint (duplicate payments)</w:t>
            </w:r>
          </w:p>
        </w:tc>
      </w:tr>
      <w:tr>
        <w:tc>
          <w:tcPr>
            <w:tcW w:type="dxa" w:w="4320"/>
          </w:tcPr>
          <w:p>
            <w:r>
              <w:t>C — Platform Moat</w:t>
            </w:r>
          </w:p>
        </w:tc>
        <w:tc>
          <w:tcPr>
            <w:tcW w:type="dxa" w:w="4320"/>
          </w:tcPr>
          <w:p>
            <w:r>
              <w:t>Payment Anomaly/Fraud Module, VAM — hard to replicate quickly; strong wedge into NBFC/insurance/e-commerce</w:t>
            </w:r>
          </w:p>
        </w:tc>
      </w:tr>
      <w:tr>
        <w:tc>
          <w:tcPr>
            <w:tcW w:type="dxa" w:w="4320"/>
          </w:tcPr>
          <w:p>
            <w:r>
              <w:t>D — Frontier</w:t>
            </w:r>
          </w:p>
        </w:tc>
        <w:tc>
          <w:tcPr>
            <w:tcW w:type="dxa" w:w="4320"/>
          </w:tcPr>
          <w:p>
            <w:r>
              <w:t>Trade Finance Document AI — large opportunity, needs Vision LLM hardened first, own document-standard complexity</w:t>
            </w:r>
          </w:p>
        </w:tc>
      </w:tr>
    </w:tbl>
    <w:p/>
    <w:p>
      <w:pPr>
        <w:pStyle w:val="Heading2"/>
      </w:pPr>
      <w:r>
        <w:t>6.3 BharatConnect for Business — Integration</w:t>
      </w:r>
    </w:p>
    <w:p>
      <w:r>
        <w:rPr>
          <w:b w:val="0"/>
        </w:rPr>
        <w:t>Bharat Connect for Business (formerly BBPS for Business) is a B2B invoicing-and-payments framework operated by NPCI Bharat BillPay Limited (NBBL) under RBI guidance. Seller raises an invoice in their own ERP — buyer sees it natively in their own ERP (even a different vendor's) — accepts/rejects/returns — accepted invoices are paid via bank transfer/card/PG — status and reconciliation update in real time on both sides.</w:t>
      </w:r>
    </w:p>
    <w:p>
      <w:r>
        <w:rPr>
          <w:b w:val="0"/>
        </w:rPr>
        <w:t>Why this is credible, not speculative: NBBL leadership has publicly targeted 1 billion monthly transactions within three years. State governments are already positioning it as MSME digital infrastructure — Gujarat's 43-lakh-MSME base is one cited example. NTT DATA Business Solutions has partnered with NBBL to bring it natively into SAP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IBB Standalone</w:t>
            </w:r>
          </w:p>
        </w:tc>
        <w:tc>
          <w:tcPr>
            <w:tcW w:type="dxa" w:w="2880"/>
          </w:tcPr>
          <w:p>
            <w:r>
              <w:t>IBB + BharatConnect</w:t>
            </w:r>
          </w:p>
        </w:tc>
      </w:tr>
      <w:tr>
        <w:tc>
          <w:tcPr>
            <w:tcW w:type="dxa" w:w="2880"/>
          </w:tcPr>
          <w:p>
            <w:r>
              <w:t>Reach</w:t>
            </w:r>
          </w:p>
        </w:tc>
        <w:tc>
          <w:tcPr>
            <w:tcW w:type="dxa" w:w="2880"/>
          </w:tcPr>
          <w:p>
            <w:r>
              <w:t>Bank's own corporate clients only</w:t>
            </w:r>
          </w:p>
        </w:tc>
        <w:tc>
          <w:tcPr>
            <w:tcW w:type="dxa" w:w="2880"/>
          </w:tcPr>
          <w:p>
            <w:r>
              <w:t>Any corporate, any ERP, any counterparty bank — a network position</w:t>
            </w:r>
          </w:p>
        </w:tc>
      </w:tr>
      <w:tr>
        <w:tc>
          <w:tcPr>
            <w:tcW w:type="dxa" w:w="2880"/>
          </w:tcPr>
          <w:p>
            <w:r>
              <w:t>Market segment</w:t>
            </w:r>
          </w:p>
        </w:tc>
        <w:tc>
          <w:tcPr>
            <w:tcW w:type="dxa" w:w="2880"/>
          </w:tcPr>
          <w:p>
            <w:r>
              <w:t>Large/mid corporates with ERP sophistication and integration budget</w:t>
            </w:r>
          </w:p>
        </w:tc>
        <w:tc>
          <w:tcPr>
            <w:tcW w:type="dxa" w:w="2880"/>
          </w:tcPr>
          <w:p>
            <w:r>
              <w:t>MSMEs too — via accounting-software Agent Institutions, no custom build</w:t>
            </w:r>
          </w:p>
        </w:tc>
      </w:tr>
      <w:tr>
        <w:tc>
          <w:tcPr>
            <w:tcW w:type="dxa" w:w="2880"/>
          </w:tcPr>
          <w:p>
            <w:r>
              <w:t>Bank's role</w:t>
            </w:r>
          </w:p>
        </w:tc>
        <w:tc>
          <w:tcPr>
            <w:tcW w:type="dxa" w:w="2880"/>
          </w:tcPr>
          <w:p>
            <w:r>
              <w:t>Vendor providing a proprietary channel</w:t>
            </w:r>
          </w:p>
        </w:tc>
        <w:tc>
          <w:tcPr>
            <w:tcW w:type="dxa" w:w="2880"/>
          </w:tcPr>
          <w:p>
            <w:r>
              <w:t>Banking Partner / Operating Unit — an infrastructure position</w:t>
            </w:r>
          </w:p>
        </w:tc>
      </w:tr>
      <w:tr>
        <w:tc>
          <w:tcPr>
            <w:tcW w:type="dxa" w:w="2880"/>
          </w:tcPr>
          <w:p>
            <w:r>
              <w:t>Revenue model</w:t>
            </w:r>
          </w:p>
        </w:tc>
        <w:tc>
          <w:tcPr>
            <w:tcW w:type="dxa" w:w="2880"/>
          </w:tcPr>
          <w:p>
            <w:r>
              <w:t>Relationship-based fees, one client at a time</w:t>
            </w:r>
          </w:p>
        </w:tc>
        <w:tc>
          <w:tcPr>
            <w:tcW w:type="dxa" w:w="2880"/>
          </w:tcPr>
          <w:p>
            <w:r>
              <w:t>Network-scale transaction economics, additive to direct relationships</w:t>
            </w:r>
          </w:p>
        </w:tc>
      </w:tr>
    </w:tbl>
    <w:p/>
    <w:p>
      <w:pPr>
        <w:pStyle w:val="Heading1"/>
      </w:pPr>
      <w:r>
        <w:t>7. Cross-Module Harmonisation — One Engine, Four Targets</w:t>
      </w:r>
    </w:p>
    <w:p>
      <w:r>
        <w:rPr>
          <w:b w:val="0"/>
        </w:rPr>
        <w:t>This is the platform thesis made concrete: the same components from Section 2 are consumed differently by each module, but none of them are rebuilt.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CTS</w:t>
            </w:r>
          </w:p>
        </w:tc>
        <w:tc>
          <w:tcPr>
            <w:tcW w:type="dxa" w:w="1728"/>
          </w:tcPr>
          <w:p>
            <w:r>
              <w:t>EJ Intelligence</w:t>
            </w:r>
          </w:p>
        </w:tc>
        <w:tc>
          <w:tcPr>
            <w:tcW w:type="dxa" w:w="1728"/>
          </w:tcPr>
          <w:p>
            <w:r>
              <w:t>PRAMAAN</w:t>
            </w:r>
          </w:p>
        </w:tc>
        <w:tc>
          <w:tcPr>
            <w:tcW w:type="dxa" w:w="1728"/>
          </w:tcPr>
          <w:p>
            <w:r>
              <w:t>IBB</w:t>
            </w:r>
          </w:p>
        </w:tc>
      </w:tr>
      <w:tr>
        <w:tc>
          <w:tcPr>
            <w:tcW w:type="dxa" w:w="1728"/>
          </w:tcPr>
          <w:p>
            <w:r>
              <w:t>Vault</w:t>
            </w:r>
          </w:p>
        </w:tc>
        <w:tc>
          <w:tcPr>
            <w:tcW w:type="dxa" w:w="1728"/>
          </w:tcPr>
          <w:p>
            <w:r>
              <w:t>Instrument, signature, mandate vaults</w:t>
            </w:r>
          </w:p>
        </w:tc>
        <w:tc>
          <w:tcPr>
            <w:tcW w:type="dxa" w:w="1728"/>
          </w:tcPr>
          <w:p>
            <w:r>
              <w:t>EJ canonical store; ATM fleet state</w:t>
            </w:r>
          </w:p>
        </w:tc>
        <w:tc>
          <w:tcPr>
            <w:tcW w:type="dxa" w:w="1728"/>
          </w:tcPr>
          <w:p>
            <w:r>
              <w:t>Read-only consumer of shared CBS sync</w:t>
            </w:r>
          </w:p>
        </w:tc>
        <w:tc>
          <w:tcPr>
            <w:tcW w:type="dxa" w:w="1728"/>
          </w:tcPr>
          <w:p>
            <w:r>
              <w:t>Balance/mandate/VAM vault — primary consumer</w:t>
            </w:r>
          </w:p>
        </w:tc>
      </w:tr>
      <w:tr>
        <w:tc>
          <w:tcPr>
            <w:tcW w:type="dxa" w:w="1728"/>
          </w:tcPr>
          <w:p>
            <w:r>
              <w:t>Temporal (exactly-once)</w:t>
            </w:r>
          </w:p>
        </w:tc>
        <w:tc>
          <w:tcPr>
            <w:tcW w:type="dxa" w:w="1728"/>
          </w:tcPr>
          <w:p>
            <w:r>
              <w:t>Idempotent NGCH filing</w:t>
            </w:r>
          </w:p>
        </w:tc>
        <w:tc>
          <w:tcPr>
            <w:tcW w:type="dxa" w:w="1728"/>
          </w:tcPr>
          <w:p>
            <w:r>
              <w:t>Normalise, dispute, fleet health workflows</w:t>
            </w:r>
          </w:p>
        </w:tc>
        <w:tc>
          <w:tcPr>
            <w:tcW w:type="dxa" w:w="1728"/>
          </w:tcPr>
          <w:p>
            <w:r>
              <w:t>Per-report submission, retries, compensation</w:t>
            </w:r>
          </w:p>
        </w:tc>
        <w:tc>
          <w:tcPr>
            <w:tcW w:type="dxa" w:w="1728"/>
          </w:tcPr>
          <w:p>
            <w:r>
              <w:t>Idempotent payment initiation</w:t>
            </w:r>
          </w:p>
        </w:tc>
      </w:tr>
      <w:tr>
        <w:tc>
          <w:tcPr>
            <w:tcW w:type="dxa" w:w="1728"/>
          </w:tcPr>
          <w:p>
            <w:r>
              <w:t>Reconciliation Engine</w:t>
            </w:r>
          </w:p>
        </w:tc>
        <w:tc>
          <w:tcPr>
            <w:tcW w:type="dxa" w:w="1728"/>
          </w:tcPr>
          <w:p>
            <w:r>
              <w:t>RRF generation, cheque returns</w:t>
            </w:r>
          </w:p>
        </w:tc>
        <w:tc>
          <w:tcPr>
            <w:tcW w:type="dxa" w:w="1728"/>
          </w:tcPr>
          <w:p>
            <w:r>
              <w:t>Dispute evidence matching; EJ vs CBS cross-check</w:t>
            </w:r>
          </w:p>
        </w:tc>
        <w:tc>
          <w:tcPr>
            <w:tcW w:type="dxa" w:w="1728"/>
          </w:tcPr>
          <w:p>
            <w:r>
              <w:t>CIC/CRILC/XBRL/FIU-IND rejection codes</w:t>
            </w:r>
          </w:p>
        </w:tc>
        <w:tc>
          <w:tcPr>
            <w:tcW w:type="dxa" w:w="1728"/>
          </w:tcPr>
          <w:p>
            <w:r>
              <w:t>NEFT/RTGS/IMPS/UPI + BharatConnect status codes</w:t>
            </w:r>
          </w:p>
        </w:tc>
      </w:tr>
      <w:tr>
        <w:tc>
          <w:tcPr>
            <w:tcW w:type="dxa" w:w="1728"/>
          </w:tcPr>
          <w:p>
            <w:r>
              <w:t>immudb Audit</w:t>
            </w:r>
          </w:p>
        </w:tc>
        <w:tc>
          <w:tcPr>
            <w:tcW w:type="dxa" w:w="1728"/>
          </w:tcPr>
          <w:p>
            <w:r>
              <w:t>Every clearing event</w:t>
            </w:r>
          </w:p>
        </w:tc>
        <w:tc>
          <w:tcPr>
            <w:tcW w:type="dxa" w:w="1728"/>
          </w:tcPr>
          <w:p>
            <w:r>
              <w:t>Every normalisation, dispute, CCTV retrieval</w:t>
            </w:r>
          </w:p>
        </w:tc>
        <w:tc>
          <w:tcPr>
            <w:tcW w:type="dxa" w:w="1728"/>
          </w:tcPr>
          <w:p>
            <w:r>
              <w:t>Every submission/rejection/correction, DQI history</w:t>
            </w:r>
          </w:p>
        </w:tc>
        <w:tc>
          <w:tcPr>
            <w:tcW w:type="dxa" w:w="1728"/>
          </w:tcPr>
          <w:p>
            <w:r>
              <w:t>Every payment, match, fraud-flag decision</w:t>
            </w:r>
          </w:p>
        </w:tc>
      </w:tr>
      <w:tr>
        <w:tc>
          <w:tcPr>
            <w:tcW w:type="dxa" w:w="1728"/>
          </w:tcPr>
          <w:p>
            <w:r>
              <w:t>Explainable AI</w:t>
            </w:r>
          </w:p>
        </w:tc>
        <w:tc>
          <w:tcPr>
            <w:tcW w:type="dxa" w:w="1728"/>
          </w:tcPr>
          <w:p>
            <w:r>
              <w:t>Signature/fraud scoring on cheque images</w:t>
            </w:r>
          </w:p>
        </w:tc>
        <w:tc>
          <w:tcPr>
            <w:tcW w:type="dxa" w:w="1728"/>
          </w:tcPr>
          <w:p>
            <w:r>
              <w:t>EJ anomaly scoring — skimming, cash trap, engineer access</w:t>
            </w:r>
          </w:p>
        </w:tc>
        <w:tc>
          <w:tcPr>
            <w:tcW w:type="dxa" w:w="1728"/>
          </w:tcPr>
          <w:p>
            <w:r>
              <w:t>DQI root-cause analysis (architecturally similar)</w:t>
            </w:r>
          </w:p>
        </w:tc>
        <w:tc>
          <w:tcPr>
            <w:tcW w:type="dxa" w:w="1728"/>
          </w:tcPr>
          <w:p>
            <w:r>
              <w:t>Beneficiary/high-value anomaly detection</w:t>
            </w:r>
          </w:p>
        </w:tc>
      </w:tr>
      <w:tr>
        <w:tc>
          <w:tcPr>
            <w:tcW w:type="dxa" w:w="1728"/>
          </w:tcPr>
          <w:p>
            <w:r>
              <w:t>Identity &amp; Access</w:t>
            </w:r>
          </w:p>
        </w:tc>
        <w:tc>
          <w:tcPr>
            <w:tcW w:type="dxa" w:w="1728"/>
          </w:tcPr>
          <w:p>
            <w:r>
              <w:t>ops_reviewer, fraud_analyst, ops_manager roles</w:t>
            </w:r>
          </w:p>
        </w:tc>
        <w:tc>
          <w:tcPr>
            <w:tcW w:type="dxa" w:w="1728"/>
          </w:tcPr>
          <w:p>
            <w:r>
              <w:t>atm_ops_manager role; fleet + dispute scope</w:t>
            </w:r>
          </w:p>
        </w:tc>
        <w:tc>
          <w:tcPr>
            <w:tcW w:type="dxa" w:w="1728"/>
          </w:tcPr>
          <w:p>
            <w:r>
              <w:t>compliance_officer, rbi_examiner roles</w:t>
            </w:r>
          </w:p>
        </w:tc>
        <w:tc>
          <w:tcPr>
            <w:tcW w:type="dxa" w:w="1728"/>
          </w:tcPr>
          <w:p>
            <w:r>
              <w:t>treasury_manager, erp_connector roles</w:t>
            </w:r>
          </w:p>
        </w:tc>
      </w:tr>
      <w:tr>
        <w:tc>
          <w:tcPr>
            <w:tcW w:type="dxa" w:w="1728"/>
          </w:tcPr>
          <w:p>
            <w:r>
              <w:t>Notification Engine</w:t>
            </w:r>
          </w:p>
        </w:tc>
        <w:tc>
          <w:tcPr>
            <w:tcW w:type="dxa" w:w="1728"/>
          </w:tcPr>
          <w:p>
            <w:r>
              <w:t>IET alerts, vault miss alerts</w:t>
            </w:r>
          </w:p>
        </w:tc>
        <w:tc>
          <w:tcPr>
            <w:tcW w:type="dxa" w:w="1728"/>
          </w:tcPr>
          <w:p>
            <w:r>
              <w:t>Fleet down, fraud flag, cassette irregularity</w:t>
            </w:r>
          </w:p>
        </w:tc>
        <w:tc>
          <w:tcPr>
            <w:tcW w:type="dxa" w:w="1728"/>
          </w:tcPr>
          <w:p>
            <w:r>
              <w:t>DQI breach, Tier 1 SLA warning, submission failure</w:t>
            </w:r>
          </w:p>
        </w:tc>
        <w:tc>
          <w:tcPr>
            <w:tcW w:type="dxa" w:w="1728"/>
          </w:tcPr>
          <w:p>
            <w:r>
              <w:t>Payment failure, duplicate detected, reconciliation break</w:t>
            </w:r>
          </w:p>
        </w:tc>
      </w:tr>
      <w:tr>
        <w:tc>
          <w:tcPr>
            <w:tcW w:type="dxa" w:w="1728"/>
          </w:tcPr>
          <w:p>
            <w:r>
              <w:t>Sponsor Bank GTM</w:t>
            </w:r>
          </w:p>
        </w:tc>
        <w:tc>
          <w:tcPr>
            <w:tcW w:type="dxa" w:w="1728"/>
          </w:tcPr>
          <w:p>
            <w:r>
              <w:t>Original distribution motion</w:t>
            </w:r>
          </w:p>
        </w:tc>
        <w:tc>
          <w:tcPr>
            <w:tcW w:type="dxa" w:w="1728"/>
          </w:tcPr>
          <w:p>
            <w:r>
              <w:t>Cross-sell to ATM ops desk</w:t>
            </w:r>
          </w:p>
        </w:tc>
        <w:tc>
          <w:tcPr>
            <w:tcW w:type="dxa" w:w="1728"/>
          </w:tcPr>
          <w:p>
            <w:r>
              <w:t>Cross-sell to CCO/compliance</w:t>
            </w:r>
          </w:p>
        </w:tc>
        <w:tc>
          <w:tcPr>
            <w:tcW w:type="dxa" w:w="1728"/>
          </w:tcPr>
          <w:p>
            <w:r>
              <w:t>Cross-sell to treasury; path to BharatConnect Banking Partner</w:t>
            </w:r>
          </w:p>
        </w:tc>
      </w:tr>
    </w:tbl>
    <w:p/>
    <w:p>
      <w:pPr>
        <w:pStyle w:val="Heading2"/>
      </w:pPr>
      <w:r>
        <w:t>The economic claim, stated once</w:t>
      </w:r>
    </w:p>
    <w:p>
      <w:pPr>
        <w:pStyle w:val="ListBullet"/>
      </w:pPr>
      <w:r>
        <w:t>Every module after the first is materially cheaper to build than the one before it, because the expensive infrastructure — exactly-once orchestration, tamper-evident audit, vault isolation, auth, notifications — is shared, not rebuilt.</w:t>
      </w:r>
    </w:p>
    <w:p>
      <w:pPr>
        <w:pStyle w:val="ListBullet"/>
      </w:pPr>
      <w:r>
        <w:t>A bank's CTO ends up with one operational picture across cheque clearing, ATM intelligence, regulatory compliance, and corporate banking — not four vendor relationships with four audit trails.</w:t>
      </w:r>
    </w:p>
    <w:p>
      <w:pPr>
        <w:pStyle w:val="ListBullet"/>
      </w:pPr>
      <w:r>
        <w:t>This claim is architecturally sound for CTS→EJ→PRAMAAN, where all three are internal-tooling problems solved the same way. Whether it holds equally well for CTS→IBB — where IBB's hard problems may be more about ERP-side integration and payment-rail-specific semantics — is precisely the open question Section 8 exists to interrogate.</w:t>
      </w:r>
    </w:p>
    <w:p/>
    <w:p>
      <w:pPr>
        <w:pStyle w:val="Heading1"/>
      </w:pPr>
      <w:r>
        <w:t>8. IBB — Opportunity vs. Threat (Decision Support)</w:t>
      </w:r>
    </w:p>
    <w:p>
      <w:r>
        <w:rPr>
          <w:b w:val="0"/>
        </w:rPr>
        <w:t>This section exists because IBB is structurally different from PRAMAAN and EJ Intelligence. Both of those sell to the same buyer as CTS (CTO/CCO, compliance budget, RBI as implicit co-pitcher) and compete with nobody — they are internal tooling. IBB sells to a different buyer (Treasury/Corporate Banking, discretionary product budget) and competes directly with funded, entrenched TSPs.</w:t>
      </w:r>
    </w:p>
    <w:p>
      <w:pPr>
        <w:pStyle w:val="Heading2"/>
      </w:pPr>
      <w:r>
        <w:t>8.1 The Opportunity Case</w:t>
      </w:r>
    </w:p>
    <w:p>
      <w:pPr>
        <w:pStyle w:val="ListBullet"/>
      </w:pPr>
      <w:r>
        <w:t>Revenue vs. cost-centre framing: IBB is revenue-generating; PRAMAAN is cost-avoidance. Pitching 'this makes you money' lands differently from 'this keeps you out of trouble,' and having both in one platform story means opening with whichever the room responds to</w:t>
      </w:r>
    </w:p>
    <w:p>
      <w:pPr>
        <w:pStyle w:val="ListBullet"/>
      </w:pPr>
      <w:r>
        <w:t>Genuine technical reuse: vault, Temporal exactly-once, reconciliation/exception engine, immudb audit all transfer cleanly from CTS — this part of the reuse claim is architecturally honest, not just a slide</w:t>
      </w:r>
    </w:p>
    <w:p>
      <w:pPr>
        <w:pStyle w:val="ListBullet"/>
      </w:pPr>
      <w:r>
        <w:t>Competitive gap: Cashfree, Yes Bank, ICICI are all cloud SaaS sitting outside the bank's data boundary — on-prem Connected Banking is a real, open wedge for PSU/BFSI corporates under data-residency mandates</w:t>
      </w:r>
    </w:p>
    <w:p>
      <w:pPr>
        <w:pStyle w:val="ListBullet"/>
      </w:pPr>
      <w:r>
        <w:t>BharatConnect's trajectory: NBBL's own public target of 1 billion monthly transactions within three years, state governments already treating it as MSME infrastructure — this is externally verifiable momentum, not speculation</w:t>
      </w:r>
    </w:p>
    <w:p>
      <w:pPr>
        <w:pStyle w:val="ListBullet"/>
      </w:pPr>
      <w:r>
        <w:t>GTM consistency: banks already landed via CTS are natural cross-sell targets for IBB, with no new sales cycle required</w:t>
      </w:r>
    </w:p>
    <w:p>
      <w:pPr>
        <w:pStyle w:val="Heading2"/>
      </w:pPr>
      <w:r>
        <w:t>8.2 The Drift / Risk Case</w:t>
      </w:r>
    </w:p>
    <w:p>
      <w:pPr>
        <w:pStyle w:val="ListBullet"/>
      </w:pPr>
      <w:r>
        <w:t>Different buyer, different motion: cheque processing, EJ Intelligence, and PRAMAAN all sell to the CTO/CCO on a compliance budget; IBB sells to Treasury on a discretionary product budget against entrenched competitors — a genuinely different sales cycle, not just a different feature</w:t>
      </w:r>
    </w:p>
    <w:p>
      <w:pPr>
        <w:pStyle w:val="ListBullet"/>
      </w:pPr>
      <w:r>
        <w:t>Breadth before depth: one live reference (CTS), one prototype (EJ), and one paper blueprint (PRAMAAN) is already a stretch for credibility; a fourth concurrent vertical risks reading as 'ambitious vision deck' rather than 'platform with traction'</w:t>
      </w:r>
    </w:p>
    <w:p>
      <w:pPr>
        <w:pStyle w:val="ListBullet"/>
      </w:pPr>
      <w:r>
        <w:t>Bandwidth is the real constraint: ASTRA, BizCollect, PRANA, and a NewCo conversation are already concurrent. The architecture case for IBB is sound; the capacity case for building it now, alongside getting PRAMAAN's Tier 1/2 actually shipped and EJ's Tier 1 piloted, is much weaker</w:t>
      </w:r>
    </w:p>
    <w:p>
      <w:pPr>
        <w:pStyle w:val="ListBullet"/>
      </w:pPr>
      <w:r>
        <w:t>Asymmetric competitive intensity: nobody competes with a bank on internal regulatory tooling or ATM EJ analysis — both are internal-tooling problems. IBB enters a fight against well-capitalised incumbents with existing bank relationships</w:t>
      </w:r>
    </w:p>
    <w:p>
      <w:pPr>
        <w:pStyle w:val="ListBullet"/>
      </w:pPr>
      <w:r>
        <w:t>External dependency without compulsion: PRAMAAN builds against RBI's evolving Master Directions, which banks are compelled to comply with. IBB builds partly against NBBL's evolving BharatConnect standard, which banks are not compelled to adopt — a softer floor under the business case</w:t>
      </w:r>
    </w:p>
    <w:p>
      <w:pPr>
        <w:pStyle w:val="Heading2"/>
      </w:pPr>
      <w:r>
        <w:t>8.3 Opportunity vs. Threat — What Would Prove Each Side</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If the Opportunity Is Real</w:t>
            </w:r>
          </w:p>
        </w:tc>
        <w:tc>
          <w:tcPr>
            <w:tcW w:type="dxa" w:w="2880"/>
          </w:tcPr>
          <w:p>
            <w:r>
              <w:t>If It's Overstated / Mistimed</w:t>
            </w:r>
          </w:p>
        </w:tc>
      </w:tr>
      <w:tr>
        <w:tc>
          <w:tcPr>
            <w:tcW w:type="dxa" w:w="2880"/>
          </w:tcPr>
          <w:p>
            <w:r>
              <w:t>Market</w:t>
            </w:r>
          </w:p>
        </w:tc>
        <w:tc>
          <w:tcPr>
            <w:tcW w:type="dxa" w:w="2880"/>
          </w:tcPr>
          <w:p>
            <w:r>
              <w:t>On-prem trust genuinely matters to PSU/BFSI corporates with data-residency mandates; wins deals cloud TSPs structurally can't</w:t>
            </w:r>
          </w:p>
        </w:tc>
        <w:tc>
          <w:tcPr>
            <w:tcW w:type="dxa" w:w="2880"/>
          </w:tcPr>
          <w:p>
            <w:r>
              <w:t>Data-residency is a talking point, not a purchase driver — corporates buy on integration ease and existing TSP relationship</w:t>
            </w:r>
          </w:p>
        </w:tc>
      </w:tr>
      <w:tr>
        <w:tc>
          <w:tcPr>
            <w:tcW w:type="dxa" w:w="2880"/>
          </w:tcPr>
          <w:p>
            <w:r>
              <w:t>BharatConnect</w:t>
            </w:r>
          </w:p>
        </w:tc>
        <w:tc>
          <w:tcPr>
            <w:tcW w:type="dxa" w:w="2880"/>
          </w:tcPr>
          <w:p>
            <w:r>
              <w:t>Becomes the UPI-of-B2B; early Banking Partner positioning compounds for years</w:t>
            </w:r>
          </w:p>
        </w:tc>
        <w:tc>
          <w:tcPr>
            <w:tcW w:type="dxa" w:w="2880"/>
          </w:tcPr>
          <w:p>
            <w:r>
              <w:t>Stalls like many NPCI initiatives have (slow OU/adoption, ERP-vendor apathy) and connector plumbing is built for a network that never reaches critical mass</w:t>
            </w:r>
          </w:p>
        </w:tc>
      </w:tr>
      <w:tr>
        <w:tc>
          <w:tcPr>
            <w:tcW w:type="dxa" w:w="2880"/>
          </w:tcPr>
          <w:p>
            <w:r>
              <w:t>Reuse economics</w:t>
            </w:r>
          </w:p>
        </w:tc>
        <w:tc>
          <w:tcPr>
            <w:tcW w:type="dxa" w:w="2880"/>
          </w:tcPr>
          <w:p>
            <w:r>
              <w:t>Vault/Temporal/reconciliation core cuts IBB's build cost 60-70%, as the PRAMAAN/EJ pattern suggests</w:t>
            </w:r>
          </w:p>
        </w:tc>
        <w:tc>
          <w:tcPr>
            <w:tcW w:type="dxa" w:w="2880"/>
          </w:tcPr>
          <w:p>
            <w:r>
              <w:t>IBB's hard problems — idempotency across four different rail semantics, ERP-side auth/consent, fraud false-positive tuning — turn out not to be the cheque/EJ problem</w:t>
            </w:r>
          </w:p>
        </w:tc>
      </w:tr>
      <w:tr>
        <w:tc>
          <w:tcPr>
            <w:tcW w:type="dxa" w:w="2880"/>
          </w:tcPr>
          <w:p>
            <w:r>
              <w:t>Bandwidth</w:t>
            </w:r>
          </w:p>
        </w:tc>
        <w:tc>
          <w:tcPr>
            <w:tcW w:type="dxa" w:w="2880"/>
          </w:tcPr>
          <w:p>
            <w:r>
              <w:t>IBB becomes the vertical that funds the others — its revenue subsidises continued PRAMAAN/CTS/EJ investment</w:t>
            </w:r>
          </w:p>
        </w:tc>
        <w:tc>
          <w:tcPr>
            <w:tcW w:type="dxa" w:w="2880"/>
          </w:tcPr>
          <w:p>
            <w:r>
              <w:t>It quietly starves the other three modules of attention while itself losing to incumbents with a two-year head start</w:t>
            </w:r>
          </w:p>
        </w:tc>
      </w:tr>
    </w:tbl>
    <w:p/>
    <w:p>
      <w:pPr>
        <w:pStyle w:val="Heading2"/>
      </w:pPr>
      <w:r>
        <w:t>8.4 Open Questions for Market Research</w:t>
      </w:r>
    </w:p>
    <w:p>
      <w:pPr>
        <w:pStyle w:val="Heading3"/>
      </w:pPr>
      <w:r>
        <w:t>Market / Competitive</w:t>
      </w:r>
    </w:p>
    <w:p>
      <w:pPr>
        <w:pStyle w:val="ListBullet"/>
      </w:pPr>
      <w:r>
        <w:t>Is 'on-prem data sovereignty' an actual stated procurement criterion in recent bank RFPs for Connected Banking, or is it a hypothesis? RFP language is checkable.</w:t>
      </w:r>
    </w:p>
    <w:p>
      <w:pPr>
        <w:pStyle w:val="ListBullet"/>
      </w:pPr>
      <w:r>
        <w:t>What is Cashfree/RBL/ICICI's actual retention and expansion rate with existing corporate clients? High switching cost would mean 'we're better on trust' doesn't matter — nobody's re-tendering.</w:t>
      </w:r>
    </w:p>
    <w:p>
      <w:pPr>
        <w:pStyle w:val="ListBullet"/>
      </w:pPr>
      <w:r>
        <w:t>Who are the first-mover BharatConnect Banking Partners right now, and what's their reported transaction volume trajectory versus NBBL's stated target?</w:t>
      </w:r>
    </w:p>
    <w:p>
      <w:pPr>
        <w:pStyle w:val="Heading3"/>
      </w:pPr>
      <w:r>
        <w:t>Technical</w:t>
      </w:r>
    </w:p>
    <w:p>
      <w:pPr>
        <w:pStyle w:val="ListBullet"/>
      </w:pPr>
      <w:r>
        <w:t>Pressure-test the reuse claim: does idempotent NEFT/RTGS/IMPS/UPI initiation genuinely share code with NGCH's exactly-once filing, or does each rail's retry/timeout semantics require near-bespoke handling?</w:t>
      </w:r>
    </w:p>
    <w:p>
      <w:pPr>
        <w:pStyle w:val="ListBullet"/>
      </w:pPr>
      <w:r>
        <w:t>What is the actual per-client ERP-integration effort — SAP vs. Oracle vs. Tally? Is 'ERP Connector Layer' one build, or three separate builds wearing one name?</w:t>
      </w:r>
    </w:p>
    <w:p>
      <w:pPr>
        <w:pStyle w:val="Heading3"/>
      </w:pPr>
      <w:r>
        <w:t>Financial</w:t>
      </w:r>
    </w:p>
    <w:p>
      <w:pPr>
        <w:pStyle w:val="ListBullet"/>
      </w:pPr>
      <w:r>
        <w:t>What do banks currently pay TSPs for Connected Banking — fee-per-transaction, platform fee, or bundled? Without this number, 'converts a cost centre into a revenue line' is a slogan.</w:t>
      </w:r>
    </w:p>
    <w:p>
      <w:pPr>
        <w:pStyle w:val="ListBullet"/>
      </w:pPr>
      <w:r>
        <w:t>What does a Banking Partner/Operating Unit role on BharatConnect actually pay, if anything, at this stage of network maturity?</w:t>
      </w:r>
    </w:p>
    <w:p>
      <w:pPr>
        <w:pStyle w:val="Heading3"/>
      </w:pPr>
      <w:r>
        <w:t>Strategic Fit / Timing</w:t>
      </w:r>
    </w:p>
    <w:p>
      <w:pPr>
        <w:pStyle w:val="ListBullet"/>
      </w:pPr>
      <w:r>
        <w:t>Does building IBB now measurably slow PRAMAAN's Tier 1/2 delivery and EJ's Tier 1 pilot? If so, is delaying revenue-defending regulatory work and proven-prototype work for revenue-generating product work the right trade?</w:t>
      </w:r>
    </w:p>
    <w:p/>
    <w:p>
      <w:pPr>
        <w:pStyle w:val="Heading1"/>
      </w:pPr>
      <w:r>
        <w:t>9. Recommended Decision Path — Bake, Research, Gate, Build</w:t>
      </w:r>
    </w:p>
    <w:p>
      <w:r>
        <w:rPr>
          <w:b w:val="0"/>
        </w:rPr>
        <w:t>A simple sequence, deliberately slower than jumping straight to engineering, because the cost of being wrong about IBB is higher than the cost of a few weeks' delay in confirming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Activity</w:t>
            </w:r>
          </w:p>
        </w:tc>
        <w:tc>
          <w:tcPr>
            <w:tcW w:type="dxa" w:w="2160"/>
          </w:tcPr>
          <w:p>
            <w:r>
              <w:t>Output</w:t>
            </w:r>
          </w:p>
        </w:tc>
        <w:tc>
          <w:tcPr>
            <w:tcW w:type="dxa" w:w="2160"/>
          </w:tcPr>
          <w:p>
            <w:r>
              <w:t>Gate to Next Stage</w:t>
            </w:r>
          </w:p>
        </w:tc>
      </w:tr>
      <w:tr>
        <w:tc>
          <w:tcPr>
            <w:tcW w:type="dxa" w:w="2160"/>
          </w:tcPr>
          <w:p>
            <w:r>
              <w:t>1. Bake</w:t>
            </w:r>
          </w:p>
        </w:tc>
        <w:tc>
          <w:tcPr>
            <w:tcW w:type="dxa" w:w="2160"/>
          </w:tcPr>
          <w:p>
            <w:r>
              <w:t>This document — platform view, module blueprints, opportunity-vs-threat for IBB</w:t>
            </w:r>
          </w:p>
        </w:tc>
        <w:tc>
          <w:tcPr>
            <w:tcW w:type="dxa" w:w="2160"/>
          </w:tcPr>
          <w:p>
            <w:r>
              <w:t>Shared internal understanding of the real open questions</w:t>
            </w:r>
          </w:p>
        </w:tc>
        <w:tc>
          <w:tcPr>
            <w:tcW w:type="dxa" w:w="2160"/>
          </w:tcPr>
          <w:p>
            <w:r>
              <w:t>Section 8.3/8.4 questions are specific and answerable, not vague</w:t>
            </w:r>
          </w:p>
        </w:tc>
      </w:tr>
      <w:tr>
        <w:tc>
          <w:tcPr>
            <w:tcW w:type="dxa" w:w="2160"/>
          </w:tcPr>
          <w:p>
            <w:r>
              <w:t>2. Research</w:t>
            </w:r>
          </w:p>
        </w:tc>
        <w:tc>
          <w:tcPr>
            <w:tcW w:type="dxa" w:w="2160"/>
          </w:tcPr>
          <w:p>
            <w:r>
              <w:t>Commission targeted research against Section 8.4's four buckets specifically</w:t>
            </w:r>
          </w:p>
        </w:tc>
        <w:tc>
          <w:tcPr>
            <w:tcW w:type="dxa" w:w="2160"/>
          </w:tcPr>
          <w:p>
            <w:r>
              <w:t>Answers (or honest 'unknowable yet') to each open question</w:t>
            </w:r>
          </w:p>
        </w:tc>
        <w:tc>
          <w:tcPr>
            <w:tcW w:type="dxa" w:w="2160"/>
          </w:tcPr>
          <w:p>
            <w:r>
              <w:t>Market and Technical buckets both come back net-positive or clearly mitigable</w:t>
            </w:r>
          </w:p>
        </w:tc>
      </w:tr>
      <w:tr>
        <w:tc>
          <w:tcPr>
            <w:tcW w:type="dxa" w:w="2160"/>
          </w:tcPr>
          <w:p>
            <w:r>
              <w:t>3. Gate</w:t>
            </w:r>
          </w:p>
        </w:tc>
        <w:tc>
          <w:tcPr>
            <w:tcW w:type="dxa" w:w="2160"/>
          </w:tcPr>
          <w:p>
            <w:r>
              <w:t>Revisit Section 8.3's table against research findings; explicit go/defer/reshape decision</w:t>
            </w:r>
          </w:p>
        </w:tc>
        <w:tc>
          <w:tcPr>
            <w:tcW w:type="dxa" w:w="2160"/>
          </w:tcPr>
          <w:p>
            <w:r>
              <w:t>A recorded decision, not a default drift into building</w:t>
            </w:r>
          </w:p>
        </w:tc>
        <w:tc>
          <w:tcPr>
            <w:tcW w:type="dxa" w:w="2160"/>
          </w:tcPr>
          <w:p>
            <w:r>
              <w:t>Bandwidth question honestly answered — what stops or slows if IBB proceeds now</w:t>
            </w:r>
          </w:p>
        </w:tc>
      </w:tr>
      <w:tr>
        <w:tc>
          <w:tcPr>
            <w:tcW w:type="dxa" w:w="2160"/>
          </w:tcPr>
          <w:p>
            <w:r>
              <w:t>4. Build</w:t>
            </w:r>
          </w:p>
        </w:tc>
        <w:tc>
          <w:tcPr>
            <w:tcW w:type="dxa" w:w="2160"/>
          </w:tcPr>
          <w:p>
            <w:r>
              <w:t>Tier A (Section 6.2) only, as a bounded pilot, before committing to Tiers B–D</w:t>
            </w:r>
          </w:p>
        </w:tc>
        <w:tc>
          <w:tcPr>
            <w:tcW w:type="dxa" w:w="2160"/>
          </w:tcPr>
          <w:p>
            <w:r>
              <w:t>A working foundation with a real client, or a fast, cheap 'no'</w:t>
            </w:r>
          </w:p>
        </w:tc>
        <w:tc>
          <w:tcPr>
            <w:tcW w:type="dxa" w:w="2160"/>
          </w:tcPr>
          <w:p>
            <w:r>
              <w:t>Tier A pilot validates or invalidates the reuse-economics assumption directly</w:t>
            </w:r>
          </w:p>
        </w:tc>
      </w:tr>
    </w:tbl>
    <w:p/>
    <w:p>
      <w:r>
        <w:rPr>
          <w:b w:val="0"/>
        </w:rPr>
        <w:t>Note what this sequence deliberately avoids: committing to Tiers B–D, or to BharatConnect integration, before Tier A has produced real evidence. The biggest risk this document identifies is bandwidth dilution across four concurrent verticals — a bounded Tier A pilot is the cheapest way to learn whether that risk is real before it's expensive.</w:t>
      </w:r>
    </w:p>
    <w:p/>
    <w:p>
      <w:pPr>
        <w:pStyle w:val="Heading1"/>
      </w:pPr>
      <w:r>
        <w:t>10. Future / Contemplated Modules</w:t>
      </w:r>
    </w:p>
    <w:p>
      <w:r>
        <w:rPr>
          <w:b w:val="0"/>
        </w:rPr>
        <w:t>ASTRA's own longer-range platform vision has previously been framed as CTS → EJ → MSV → Branch Ops → Reg Reporting. IBB is a genuine addition to that sequence. Worth naming explicitly since it shows this document's module list is expected to keep growing, not close after IBB.</w:t>
      </w:r>
    </w:p>
    <w:tbl>
      <w:tblPr>
        <w:tblStyle w:val="TableGrid"/>
        <w:tblW w:type="auto" w:w="0"/>
        <w:tblLook w:firstColumn="1" w:firstRow="1" w:lastColumn="0" w:lastRow="0" w:noHBand="0" w:noVBand="1" w:val="04A0"/>
      </w:tblPr>
      <w:tblGrid>
        <w:gridCol w:w="2880"/>
        <w:gridCol w:w="2880"/>
        <w:gridCol w:w="2880"/>
      </w:tblGrid>
      <w:tr>
        <w:tc>
          <w:tcPr>
            <w:tcW w:type="dxa" w:w="2880"/>
          </w:tcPr>
          <w:p>
            <w:r>
              <w:t>Candidate Module</w:t>
            </w:r>
          </w:p>
        </w:tc>
        <w:tc>
          <w:tcPr>
            <w:tcW w:type="dxa" w:w="2880"/>
          </w:tcPr>
          <w:p>
            <w:r>
              <w:t>One-Line Concept</w:t>
            </w:r>
          </w:p>
        </w:tc>
        <w:tc>
          <w:tcPr>
            <w:tcW w:type="dxa" w:w="2880"/>
          </w:tcPr>
          <w:p>
            <w:r>
              <w:t>Status</w:t>
            </w:r>
          </w:p>
        </w:tc>
      </w:tr>
      <w:tr>
        <w:tc>
          <w:tcPr>
            <w:tcW w:type="dxa" w:w="2880"/>
          </w:tcPr>
          <w:p>
            <w:r>
              <w:t>EJ Intelligence</w:t>
            </w:r>
          </w:p>
        </w:tc>
        <w:tc>
          <w:tcPr>
            <w:tcW w:type="dxa" w:w="2880"/>
          </w:tcPr>
          <w:p>
            <w:r>
              <w:t>Graduated to Section 4 (full module chapter). Working prototype in atm-ej-platform repo.</w:t>
            </w:r>
          </w:p>
        </w:tc>
        <w:tc>
          <w:tcPr>
            <w:tcW w:type="dxa" w:w="2880"/>
          </w:tcPr>
          <w:p>
            <w:r>
              <w:t>Working prototype — Tier 1 pilot next</w:t>
            </w:r>
          </w:p>
        </w:tc>
      </w:tr>
      <w:tr>
        <w:tc>
          <w:tcPr>
            <w:tcW w:type="dxa" w:w="2880"/>
          </w:tcPr>
          <w:p>
            <w:r>
              <w:t>MSV</w:t>
            </w:r>
          </w:p>
        </w:tc>
        <w:tc>
          <w:tcPr>
            <w:tcW w:type="dxa" w:w="2880"/>
          </w:tcPr>
          <w:p>
            <w:r>
              <w:t>Merchant/statement verification layer — scope not yet defined</w:t>
            </w:r>
          </w:p>
        </w:tc>
        <w:tc>
          <w:tcPr>
            <w:tcW w:type="dxa" w:w="2880"/>
          </w:tcPr>
          <w:p>
            <w:r>
              <w:t>Named in original platform vision only; needs its own concept note before any further work</w:t>
            </w:r>
          </w:p>
        </w:tc>
      </w:tr>
      <w:tr>
        <w:tc>
          <w:tcPr>
            <w:tcW w:type="dxa" w:w="2880"/>
          </w:tcPr>
          <w:p>
            <w:r>
              <w:t>Branch Ops</w:t>
            </w:r>
          </w:p>
        </w:tc>
        <w:tc>
          <w:tcPr>
            <w:tcW w:type="dxa" w:w="2880"/>
          </w:tcPr>
          <w:p>
            <w:r>
              <w:t>Branch-level operational workflow orchestration on the same vault/Temporal substrate</w:t>
            </w:r>
          </w:p>
        </w:tc>
        <w:tc>
          <w:tcPr>
            <w:tcW w:type="dxa" w:w="2880"/>
          </w:tcPr>
          <w:p>
            <w:r>
              <w:t>Named in original platform vision; not yet blueprinted</w:t>
            </w:r>
          </w:p>
        </w:tc>
      </w:tr>
      <w:tr>
        <w:tc>
          <w:tcPr>
            <w:tcW w:type="dxa" w:w="2880"/>
          </w:tcPr>
          <w:p>
            <w:r>
              <w:t>Trade Finance Doc AI</w:t>
            </w:r>
          </w:p>
        </w:tc>
        <w:tc>
          <w:tcPr>
            <w:tcW w:type="dxa" w:w="2880"/>
          </w:tcPr>
          <w:p>
            <w:r>
              <w:t>LC/BG/invoice/BoL document intelligence via the Vision LLM investment</w:t>
            </w:r>
          </w:p>
        </w:tc>
        <w:tc>
          <w:tcPr>
            <w:tcW w:type="dxa" w:w="2880"/>
          </w:tcPr>
          <w:p>
            <w:r>
              <w:t>Currently IBB Tier D — could be spun out as its own module if trade finance proves bigger than corporate treasury</w:t>
            </w:r>
          </w:p>
        </w:tc>
      </w:tr>
    </w:tbl>
    <w:p/>
    <w:p>
      <w:r>
        <w:rPr>
          <w:b w:val="0"/>
        </w:rPr>
        <w:t>None of these (except EJ) are scoped in this document. They are parked here so future contemplation starts from a list rather than a blank page — and so IBB's opportunity-vs-threat treatment in Section 8 becomes the template for how each of these should be evaluated before being blueprinted in earnest.</w:t>
      </w:r>
    </w:p>
    <w:p/>
    <w:p>
      <w:pPr>
        <w:pStyle w:val="Heading1"/>
      </w:pPr>
      <w:r>
        <w:t>11. Long-Range Directions — Aspiration Track</w:t>
      </w:r>
    </w:p>
    <w:p>
      <w:r>
        <w:rPr>
          <w:b w:val="0"/>
        </w:rPr>
        <w:t>A small set of deliberately speculative directions worth holding in mind while the nearer-term modules get built — not commitments, positions to revisit as PRAMAAN, EJ Intelligence, and IBB mature.</w:t>
      </w:r>
    </w:p>
    <w:p>
      <w:pPr>
        <w:pStyle w:val="Heading3"/>
      </w:pPr>
      <w:r>
        <w:t>From Batch Filing to Continuous SupTech</w:t>
      </w:r>
    </w:p>
    <w:p>
      <w:r>
        <w:rPr>
          <w:b w:val="0"/>
        </w:rPr>
        <w:t>RBI's own trajectory (fortnightly UCRF, monthly DQI, near-real-time STR expectations) mirrors what global peers are piloting as continuous, API-native supervisory technology. PRAMAAN's event-sourced architecture is already structurally closer to that endpoint than a batch-file generator would be.</w:t>
      </w:r>
    </w:p>
    <w:p>
      <w:pPr>
        <w:pStyle w:val="Heading3"/>
      </w:pPr>
      <w:r>
        <w:t>EJ Intelligence → ATM Network Intelligence</w:t>
      </w:r>
    </w:p>
    <w:p>
      <w:r>
        <w:rPr>
          <w:b w:val="0"/>
        </w:rPr>
        <w:t>A bank with a mature EJ Intelligence platform — canonical data, anomaly detection, self-clearing dispute resolution — is well-placed to be a design partner in NPCI's evolving ATM dispute standards. The same federated, privacy-preserving fraud-typology sharing that applies to cheque fraud also applies to ATM skimming: cross-bank anomaly patterns visible at the network level, not just within one bank's fleet.</w:t>
      </w:r>
    </w:p>
    <w:p>
      <w:pPr>
        <w:pStyle w:val="Heading3"/>
      </w:pPr>
      <w:r>
        <w:t>Embedded Working-Capital Finance at Invoice Acceptance</w:t>
      </w:r>
    </w:p>
    <w:p>
      <w:r>
        <w:rPr>
          <w:b w:val="0"/>
        </w:rPr>
        <w:t>The instant a buyer accepts an invoice on BharatConnect, there is a verified, counterparty-confirmed receivable — precisely the trigger moment for invoice discounting. This is conceptually adjacent to BizCollect's lien-marked, consent-driven B2B lending thesis: the same 'verify eligibility, then offer credit against a confirmed instrument' pattern, applied to accepted invoices instead of bank accounts.</w:t>
      </w:r>
    </w:p>
    <w:p>
      <w:pPr>
        <w:pStyle w:val="Heading3"/>
      </w:pPr>
      <w:r>
        <w:t>Cross-Network Fraud-Signature Intelligence</w:t>
      </w:r>
    </w:p>
    <w:p>
      <w:r>
        <w:rPr>
          <w:b w:val="0"/>
        </w:rPr>
        <w:t>Federated, privacy-preserving fraud-typology sharing — across CRILC-adjacent systemic-risk data for PRAMAAN, across BharatConnect Banking Partners for IBB, and across ATM network participants for EJ — is the same underlying idea applied three times. A bank with a mature explainable-fraud engine across all three surfaces is well placed to be a design partner in shaping any of these conversations.</w:t>
      </w:r>
    </w:p>
    <w:p>
      <w:pPr>
        <w:pStyle w:val="Heading3"/>
      </w:pPr>
      <w:r>
        <w:t>Regulation-Native Core Data Model</w:t>
      </w:r>
    </w:p>
    <w:p>
      <w:r>
        <w:rPr>
          <w:b w:val="0"/>
        </w:rPr>
        <w:t>The more defensible long-term position is designing future core-banking and lending-platform data models so that regulatory reportability and payment traceability are native properties of every record from creation — not reverse-engineered from operational data afterward. Worth writing into architecture principles for any future core-banking modernisation or NewCo build, rather than retrofitting later.</w:t>
      </w:r>
    </w:p>
    <w:p/>
    <w:p>
      <w:r>
        <w:rPr>
          <w:b w:val="0"/>
        </w:rPr>
        <w:t>This document is a working artefact, not a finished specification. Sections 1–7 describe what exists or is blueprint-ready. Section 8 is the part that most needs continued scrutiny before Stage 2 research is commissioned. Sections 10–11 are intentionally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