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595959"/>
          <w:sz w:val="20"/>
          <w:szCs w:val="20"/>
        </w:rPr>
        <w:t xml:space="preserve">KMITL — Faculty of Architecture</w:t>
      </w:r>
    </w:p>
    <w:p>
      <w:pPr>
        <w:spacing w:after="60" w:before="0"/>
        <w:jc w:val="center"/>
      </w:pPr>
      <w:r>
        <w:rPr>
          <w:rFonts w:ascii="Arial" w:cs="Arial" w:eastAsia="Arial" w:hAnsi="Arial"/>
          <w:color w:val="595959"/>
          <w:sz w:val="20"/>
          <w:szCs w:val="20"/>
        </w:rPr>
        <w:t xml:space="preserve">Thesis Research — Methodology Note</w:t>
      </w:r>
    </w:p>
    <w:p>
      <w:pPr>
        <w:pBdr>
          <w:bottom w:val="single" w:color="1F4E79" w:sz="12" w:space="8"/>
        </w:pBdr>
        <w:spacing w:after="60" w:before="0"/>
        <w:jc w:val="center"/>
      </w:pPr>
      <w:r>
        <w:rPr>
          <w:rFonts w:ascii="Arial" w:cs="Arial" w:eastAsia="Arial" w:hAnsi="Arial"/>
          <w:b/>
          <w:bCs/>
          <w:color w:val="1F4E79"/>
          <w:sz w:val="36"/>
          <w:szCs w:val="36"/>
        </w:rPr>
        <w:t xml:space="preserve">Why UTCI is the Primary Performance Metric for Future Climate Analysis</w:t>
      </w:r>
    </w:p>
    <w:p>
      <w:pPr>
        <w:spacing w:after="60" w:before="0"/>
      </w:pPr>
      <w:r>
        <w:t xml:space="preserve"/>
      </w:r>
    </w:p>
    <w:p>
      <w:pPr>
        <w:spacing w:after="200" w:before="0"/>
        <w:jc w:val="center"/>
      </w:pPr>
      <w:r>
        <w:rPr>
          <w:rFonts w:ascii="Arial" w:cs="Arial" w:eastAsia="Arial" w:hAnsi="Arial"/>
          <w:color w:val="595959"/>
          <w:sz w:val="20"/>
          <w:szCs w:val="20"/>
        </w:rPr>
        <w:t xml:space="preserve">Atin Punyanitya  (65020505)     |     </w:t>
      </w:r>
      <w:r>
        <w:rPr>
          <w:rFonts w:ascii="Arial" w:cs="Arial" w:eastAsia="Arial" w:hAnsi="Arial"/>
          <w:color w:val="595959"/>
          <w:sz w:val="20"/>
          <w:szCs w:val="20"/>
        </w:rPr>
        <w:t xml:space="preserve">Thesis Year 5     |     </w:t>
      </w:r>
      <w:r>
        <w:rPr>
          <w:rFonts w:ascii="Arial" w:cs="Arial" w:eastAsia="Arial" w:hAnsi="Arial"/>
          <w:color w:val="595959"/>
          <w:sz w:val="20"/>
          <w:szCs w:val="20"/>
        </w:rPr>
        <w:t xml:space="preserve">June 2026</w:t>
      </w:r>
    </w:p>
    <w:p>
      <w:pPr>
        <w:pStyle w:val="Heading1"/>
        <w:pBdr>
          <w:bottom w:val="single" w:color="2E75B6" w:sz="6" w:space="4"/>
        </w:pBdr>
        <w:spacing w:after="120" w:before="360"/>
      </w:pPr>
      <w:r>
        <w:rPr>
          <w:rFonts w:ascii="Arial" w:cs="Arial" w:eastAsia="Arial" w:hAnsi="Arial"/>
          <w:b/>
          <w:bCs/>
          <w:color w:val="1F4E79"/>
          <w:sz w:val="32"/>
          <w:szCs w:val="32"/>
        </w:rPr>
        <w:t xml:space="preserve">1.  What is UTCI and Why Does It Matter?</w:t>
      </w:r>
    </w:p>
    <w:p>
      <w:pPr>
        <w:spacing w:after="120" w:before="0"/>
      </w:pPr>
      <w:r>
        <w:rPr>
          <w:rFonts w:ascii="Arial" w:cs="Arial" w:eastAsia="Arial" w:hAnsi="Arial"/>
          <w:color w:val="1A1A1A"/>
          <w:sz w:val="20"/>
          <w:szCs w:val="20"/>
        </w:rPr>
        <w:t xml:space="preserve">The Universal Thermal Climate Index (UTCI) is an internationally standardised biometeorological index that quantifies how the human body experiences outdoor thermal conditions. Unlike simpler temperature metrics, UTCI models the actual physiological response of the body — the combined effect of air temperature, radiation, wind, and humidity on heat exchange — producing a single equivalent temperature value calibrated to a reference person.</w:t>
      </w:r>
    </w:p>
    <w:p>
      <w:pPr>
        <w:spacing w:after="80" w:before="0"/>
      </w:pPr>
      <w:r>
        <w:t xml:space="preserve"/>
      </w:r>
    </w:p>
    <w:p>
      <w:pPr>
        <w:spacing w:after="120" w:before="0"/>
      </w:pPr>
      <w:r>
        <w:rPr>
          <w:rFonts w:ascii="Arial" w:cs="Arial" w:eastAsia="Arial" w:hAnsi="Arial"/>
          <w:color w:val="1A1A1A"/>
          <w:sz w:val="20"/>
          <w:szCs w:val="20"/>
        </w:rPr>
        <w:t xml:space="preserve">UTCI was developed through the COST Action 730 programme (Europe, 2001–2007) and adopted by the World Meteorological Organization (WMO) as the preferred standard for outdoor human thermal comfort assessment. It is the basis for public heat-warning systems in Germany, Italy, the Netherlands, and increasingly across Southeast Asia.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1.1  The UTCI Stress Scale</w:t>
      </w:r>
    </w:p>
    <w:p>
      <w:pPr>
        <w:spacing w:after="120" w:before="0"/>
      </w:pPr>
      <w:r>
        <w:rPr>
          <w:rFonts w:ascii="Arial" w:cs="Arial" w:eastAsia="Arial" w:hAnsi="Arial"/>
          <w:color w:val="1A1A1A"/>
          <w:sz w:val="20"/>
          <w:szCs w:val="20"/>
        </w:rPr>
        <w:t xml:space="preserve">UTCI outputs a continuous temperature value (°C equivalent) mapped to ten stress categories. For this thesis, the relevant range is:</w:t>
      </w:r>
    </w:p>
    <w:p>
      <w:pPr>
        <w:spacing w:after="60" w:before="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2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Stress Category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UTCI Range (°C)</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Physiological Risk</w:t>
            </w:r>
          </w:p>
        </w:tc>
        <w:tc>
          <w:tcPr>
            <w:tcW w:type="dxa" w:w="2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Thesis Relevance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A1A1A"/>
                <w:sz w:val="20"/>
                <w:szCs w:val="20"/>
              </w:rPr>
              <w:t xml:space="preserve">No thermal stress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A1A1A"/>
                <w:sz w:val="20"/>
                <w:szCs w:val="20"/>
              </w:rPr>
              <w:t xml:space="preserve">18 – 26°C</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A1A1A"/>
                <w:sz w:val="20"/>
                <w:szCs w:val="20"/>
              </w:rPr>
              <w:t xml:space="preserve">Neutral / baseline</w:t>
            </w:r>
          </w:p>
        </w:tc>
        <w:tc>
          <w:tcPr>
            <w:tcW w:type="dxa" w:w="23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 heat stress</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26 – 32°C</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Discomfort begins</w:t>
            </w:r>
          </w:p>
        </w:tc>
        <w:tc>
          <w:tcPr>
            <w:tcW w:type="dxa" w:w="23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 heat stress</w:t>
            </w:r>
          </w:p>
        </w:tc>
        <w:tc>
          <w:tcPr>
            <w:tcW w:type="dxa" w:w="24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val="false"/>
                <w:bCs w:val="false"/>
                <w:color w:val="1A1A1A"/>
                <w:sz w:val="20"/>
                <w:szCs w:val="20"/>
              </w:rPr>
              <w:t xml:space="preserve">32 – 38°C</w:t>
            </w:r>
          </w:p>
        </w:tc>
        <w:tc>
          <w:tcPr>
            <w:tcW w:type="dxa" w:w="24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for vulnerable groups</w:t>
            </w:r>
          </w:p>
        </w:tc>
        <w:tc>
          <w:tcPr>
            <w:tcW w:type="dxa" w:w="232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val="false"/>
                <w:bCs w:val="false"/>
                <w:color w:val="1A1A1A"/>
                <w:sz w:val="20"/>
                <w:szCs w:val="20"/>
              </w:rPr>
              <w:t xml:space="preserve">Very strong heat stress</w:t>
            </w:r>
          </w:p>
        </w:tc>
        <w:tc>
          <w:tcPr>
            <w:tcW w:type="dxa" w:w="24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val="false"/>
                <w:bCs w:val="false"/>
                <w:color w:val="1A1A1A"/>
                <w:sz w:val="20"/>
                <w:szCs w:val="20"/>
              </w:rPr>
              <w:t xml:space="preserve">38 – 46°C</w:t>
            </w:r>
          </w:p>
        </w:tc>
        <w:tc>
          <w:tcPr>
            <w:tcW w:type="dxa" w:w="24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Severe risk — current Bangkok peak</w:t>
            </w:r>
          </w:p>
        </w:tc>
        <w:tc>
          <w:tcPr>
            <w:tcW w:type="dxa" w:w="232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B71C1C"/>
                <w:sz w:val="20"/>
                <w:szCs w:val="20"/>
              </w:rPr>
              <w:t xml:space="preserve">EXTREME heat stress</w:t>
            </w:r>
          </w:p>
        </w:tc>
        <w:tc>
          <w:tcPr>
            <w:tcW w:type="dxa" w:w="2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B71C1C"/>
                <w:sz w:val="20"/>
                <w:szCs w:val="20"/>
              </w:rPr>
              <w:t xml:space="preserve">&gt; 46°C</w:t>
            </w:r>
          </w:p>
        </w:tc>
        <w:tc>
          <w:tcPr>
            <w:tcW w:type="dxa" w:w="2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B71C1C"/>
                <w:sz w:val="20"/>
                <w:szCs w:val="20"/>
              </w:rPr>
              <w:t xml:space="preserve">Life-threatening without intervention — 2070 Bangkok peak</w:t>
            </w:r>
          </w:p>
        </w:tc>
        <w:tc>
          <w:tcPr>
            <w:tcW w:type="dxa" w:w="232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160" w:before="60"/>
        <w:jc w:val="center"/>
      </w:pPr>
      <w:r>
        <w:rPr>
          <w:rFonts w:ascii="Arial" w:cs="Arial" w:eastAsia="Arial" w:hAnsi="Arial"/>
          <w:color w:val="595959"/>
          <w:sz w:val="18"/>
          <w:szCs w:val="18"/>
        </w:rPr>
        <w:t xml:space="preserve">Table 1 — UTCI stress categories and physiological risk. The 2070 Bangkok projection moves the entire distribution from 'Strong' into 'Very strong' and 'Extreme' categories.</w:t>
      </w:r>
    </w:p>
    <w:p>
      <w:pPr>
        <w:pStyle w:val="Heading1"/>
        <w:pBdr>
          <w:bottom w:val="single" w:color="2E75B6" w:sz="6" w:space="4"/>
        </w:pBdr>
        <w:spacing w:after="120" w:before="360"/>
      </w:pPr>
      <w:r>
        <w:rPr>
          <w:rFonts w:ascii="Arial" w:cs="Arial" w:eastAsia="Arial" w:hAnsi="Arial"/>
          <w:b/>
          <w:bCs/>
          <w:color w:val="1F4E79"/>
          <w:sz w:val="32"/>
          <w:szCs w:val="32"/>
        </w:rPr>
        <w:t xml:space="preserve">2.  Why UTCI Consumes More EPW Data Than Any Other Comfort Index</w:t>
      </w:r>
    </w:p>
    <w:p>
      <w:pPr>
        <w:spacing w:after="120" w:before="0"/>
      </w:pPr>
      <w:r>
        <w:rPr>
          <w:rFonts w:ascii="Arial" w:cs="Arial" w:eastAsia="Arial" w:hAnsi="Arial"/>
          <w:color w:val="1A1A1A"/>
          <w:sz w:val="20"/>
          <w:szCs w:val="20"/>
        </w:rPr>
        <w:t xml:space="preserve">A key reason UTCI is selected as the primary metric for this thesis is its comprehensive use of EnergyPlus Weather (EPW) file data. The EPW format contains 35+ data fields per hour across 8,760 hours per year. Most comfort indices use only two or three fields. UTCI uses four primary physical inputs that collectively draw on the broadest set of EPW fields:</w:t>
      </w:r>
    </w:p>
    <w:p>
      <w:pPr>
        <w:spacing w:after="80" w:before="0"/>
      </w:pPr>
      <w:r>
        <w:t xml:space="preserve"/>
      </w:r>
    </w:p>
    <w:p>
      <w:pPr>
        <w:pStyle w:val="ListParagraph"/>
        <w:numPr>
          <w:ilvl w:val="0"/>
          <w:numId w:val="2"/>
        </w:numPr>
        <w:spacing w:after="40" w:before="40"/>
      </w:pPr>
      <w:r>
        <w:rPr>
          <w:rFonts w:ascii="Arial" w:cs="Arial" w:eastAsia="Arial" w:hAnsi="Arial"/>
          <w:color w:val="1A1A1A"/>
          <w:sz w:val="20"/>
          <w:szCs w:val="20"/>
        </w:rPr>
        <w:t xml:space="preserve">Air temperature (T</w:t>
      </w:r>
      <w:r>
        <w:rPr>
          <w:rFonts w:ascii="Arial" w:cs="Arial" w:eastAsia="Arial" w:hAnsi="Arial"/>
          <w:color w:val="1A1A1A"/>
          <w:sz w:val="20"/>
          <w:szCs w:val="20"/>
        </w:rPr>
        <w:t xml:space="preserve">air</w:t>
      </w:r>
      <w:r>
        <w:rPr>
          <w:rFonts w:ascii="Arial" w:cs="Arial" w:eastAsia="Arial" w:hAnsi="Arial"/>
          <w:b w:val="false"/>
          <w:bCs w:val="false"/>
          <w:color w:val="1A1A1A"/>
          <w:sz w:val="20"/>
          <w:szCs w:val="20"/>
        </w:rPr>
        <w:t xml:space="preserve">)</w:t>
      </w:r>
    </w:p>
    <w:p>
      <w:pPr>
        <w:pStyle w:val="ListParagraph"/>
        <w:numPr>
          <w:ilvl w:val="0"/>
          <w:numId w:val="2"/>
        </w:numPr>
        <w:spacing w:after="40" w:before="40"/>
      </w:pPr>
      <w:r>
        <w:rPr>
          <w:rFonts w:ascii="Arial" w:cs="Arial" w:eastAsia="Arial" w:hAnsi="Arial"/>
          <w:color w:val="1A1A1A"/>
          <w:sz w:val="20"/>
          <w:szCs w:val="20"/>
        </w:rPr>
        <w:t xml:space="preserve">Mean Radiant Temperature (MRT) </w:t>
      </w:r>
      <w:r>
        <w:rPr>
          <w:rFonts w:ascii="Arial" w:cs="Arial" w:eastAsia="Arial" w:hAnsi="Arial"/>
          <w:color w:val="1A1A1A"/>
          <w:sz w:val="20"/>
          <w:szCs w:val="20"/>
        </w:rPr>
        <w:t xml:space="preserve">— derived from solar radiation fields (GHR, DNR, DHR) and sky conditions</w:t>
      </w:r>
    </w:p>
    <w:p>
      <w:pPr>
        <w:pStyle w:val="ListParagraph"/>
        <w:numPr>
          <w:ilvl w:val="0"/>
          <w:numId w:val="2"/>
        </w:numPr>
        <w:spacing w:after="40" w:before="40"/>
      </w:pPr>
      <w:r>
        <w:rPr>
          <w:rFonts w:ascii="Arial" w:cs="Arial" w:eastAsia="Arial" w:hAnsi="Arial"/>
          <w:color w:val="1A1A1A"/>
          <w:sz w:val="20"/>
          <w:szCs w:val="20"/>
        </w:rPr>
        <w:t xml:space="preserve">Relative humidity (RH)</w:t>
      </w:r>
    </w:p>
    <w:p>
      <w:pPr>
        <w:pStyle w:val="ListParagraph"/>
        <w:numPr>
          <w:ilvl w:val="0"/>
          <w:numId w:val="2"/>
        </w:numPr>
        <w:spacing w:after="40" w:before="40"/>
      </w:pPr>
      <w:r>
        <w:rPr>
          <w:rFonts w:ascii="Arial" w:cs="Arial" w:eastAsia="Arial" w:hAnsi="Arial"/>
          <w:color w:val="1A1A1A"/>
          <w:sz w:val="20"/>
          <w:szCs w:val="20"/>
        </w:rPr>
        <w:t xml:space="preserve">Wind speed (v)</w:t>
      </w:r>
    </w:p>
    <w:p>
      <w:pPr>
        <w:spacing w:after="100" w:before="0"/>
      </w:pPr>
      <w:r>
        <w:t xml:space="preserve"/>
      </w:r>
    </w:p>
    <w:p>
      <w:pPr>
        <w:spacing w:after="120" w:before="0"/>
      </w:pPr>
      <w:r>
        <w:rPr>
          <w:rFonts w:ascii="Arial" w:cs="Arial" w:eastAsia="Arial" w:hAnsi="Arial"/>
          <w:color w:val="1A1A1A"/>
          <w:sz w:val="20"/>
          <w:szCs w:val="20"/>
        </w:rPr>
        <w:t xml:space="preserve">The table below compares which EPW fields each major comfort index actually incorporates. Fields marked ✓* indicate that the input is derived from multiple EPW radiation fields, not a single value.</w:t>
      </w:r>
    </w:p>
    <w:p>
      <w:pPr>
        <w:spacing w:after="80" w:before="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800"/>
        <w:gridCol w:w="1120"/>
        <w:gridCol w:w="1120"/>
        <w:gridCol w:w="1120"/>
        <w:gridCol w:w="1120"/>
        <w:gridCol w:w="1120"/>
        <w:gridCol w:w="112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EPW Field Used</w:t>
            </w:r>
          </w:p>
        </w:tc>
        <w:tc>
          <w:tcPr>
            <w:tcW w:type="dxa" w:w="1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UTCI</w:t>
            </w:r>
          </w:p>
        </w:tc>
        <w:tc>
          <w:tcPr>
            <w:tcW w:type="dxa" w:w="1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PET</w:t>
            </w:r>
          </w:p>
        </w:tc>
        <w:tc>
          <w:tcPr>
            <w:tcW w:type="dxa" w:w="1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PMV/PPD</w:t>
            </w:r>
          </w:p>
        </w:tc>
        <w:tc>
          <w:tcPr>
            <w:tcW w:type="dxa" w:w="1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WBGT</w:t>
            </w:r>
          </w:p>
        </w:tc>
        <w:tc>
          <w:tcPr>
            <w:tcW w:type="dxa" w:w="1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HI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Dry-bulb air temperature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Mean radiant temperature (MRT)</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Relative humidity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 speed</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Dew point (→ wet-bulb)</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Horizontal Radiation</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Normal Radiation</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Diffuse Horizontal Radiation</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cover / sky conditions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pPr>
        <w:spacing w:after="160" w:before="60"/>
        <w:jc w:val="center"/>
      </w:pPr>
      <w:r>
        <w:rPr>
          <w:rFonts w:ascii="Arial" w:cs="Arial" w:eastAsia="Arial" w:hAnsi="Arial"/>
          <w:color w:val="595959"/>
          <w:sz w:val="18"/>
          <w:szCs w:val="18"/>
        </w:rPr>
        <w:t xml:space="preserve">Table 2 — EPW field utilisation by comfort index. UTCI is the only outdoor metric that uses all four major physical drivers simultaneously.</w:t>
      </w:r>
    </w:p>
    <w:p>
      <w:pPr>
        <w:spacing w:after="80" w:before="0"/>
      </w:pPr>
      <w:r>
        <w:t xml:space="preserve"/>
      </w:r>
    </w:p>
    <w:p>
      <w:pPr>
        <w:spacing w:after="120" w:before="0"/>
      </w:pPr>
      <w:r>
        <w:rPr>
          <w:rFonts w:ascii="Arial" w:cs="Arial" w:eastAsia="Arial" w:hAnsi="Arial"/>
          <w:color w:val="1A1A1A"/>
          <w:sz w:val="20"/>
          <w:szCs w:val="20"/>
        </w:rPr>
        <w:t xml:space="preserve">This breadth matters for projected climate data. When a morphed 2070 EPW is applied via CURA-lab's Normal Shift Pattern method, changes propagate across all four drivers simultaneously. UTCI captures the compound interaction — a scenario where temperature, humidity, radiation, and wind all shift together — whereas a two-variable index (such as Heat Index) would miss the radiation and wind components entirely, systematically underestimating stress in Bangkok's high-radiation, high-humidity future climate.</w:t>
      </w:r>
    </w:p>
    <w:p>
      <w:pPr>
        <w:pStyle w:val="Heading1"/>
        <w:pBdr>
          <w:bottom w:val="single" w:color="2E75B6" w:sz="6" w:space="4"/>
        </w:pBdr>
        <w:spacing w:after="120" w:before="360"/>
      </w:pPr>
      <w:r>
        <w:rPr>
          <w:rFonts w:ascii="Arial" w:cs="Arial" w:eastAsia="Arial" w:hAnsi="Arial"/>
          <w:b/>
          <w:bCs/>
          <w:color w:val="1F4E79"/>
          <w:sz w:val="32"/>
          <w:szCs w:val="32"/>
        </w:rPr>
        <w:t xml:space="preserve">3.  The Specific Problem UTCI Reveals: The Floor Shift</w:t>
      </w:r>
    </w:p>
    <w:p>
      <w:pPr>
        <w:spacing w:after="120" w:before="0"/>
      </w:pPr>
      <w:r>
        <w:rPr>
          <w:rFonts w:ascii="Arial" w:cs="Arial" w:eastAsia="Arial" w:hAnsi="Arial"/>
          <w:color w:val="1A1A1A"/>
          <w:sz w:val="20"/>
          <w:szCs w:val="20"/>
        </w:rPr>
        <w:t xml:space="preserve">The central analytical finding of this thesis — the UTCI Floor Shift — could not have been identified using any simpler metric. The floor shift describes a condition where:</w:t>
      </w:r>
    </w:p>
    <w:p>
      <w:pPr>
        <w:spacing w:after="80" w:before="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9520"/>
      </w:tblGrid>
      <w:tr>
        <w:tc>
          <w:tcPr>
            <w:tcW w:type="dxa" w:w="952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A1A1A"/>
                <w:sz w:val="20"/>
                <w:szCs w:val="20"/>
              </w:rPr>
              <w:t xml:space="preserve">The future minimum UTCI (38.2°C) exceeds the current average UTCI (37.6°C). No outdoor grid point at any time of day in 2070 falls below the 'Very strong heat stress' category. The entire probability distribution has shifted up by one stress category.</w:t>
            </w:r>
          </w:p>
        </w:tc>
      </w:tr>
    </w:tbl>
    <w:p>
      <w:pPr>
        <w:spacing w:after="160" w:before="60"/>
        <w:jc w:val="center"/>
      </w:pPr>
      <w:r>
        <w:rPr>
          <w:rFonts w:ascii="Arial" w:cs="Arial" w:eastAsia="Arial" w:hAnsi="Arial"/>
          <w:color w:val="595959"/>
          <w:sz w:val="18"/>
          <w:szCs w:val="18"/>
        </w:rPr>
        <w:t xml:space="preserve">Critical Finding — UTCI Floor Shift, Bangkok 2070 projection (SSP5-8.5, CURA-lab morphed EPW)</w:t>
      </w:r>
    </w:p>
    <w:p>
      <w:pPr>
        <w:spacing w:after="80" w:before="0"/>
      </w:pPr>
      <w:r>
        <w:t xml:space="preserve"/>
      </w:r>
    </w:p>
    <w:p>
      <w:pPr>
        <w:spacing w:after="120" w:before="0"/>
      </w:pPr>
      <w:r>
        <w:rPr>
          <w:rFonts w:ascii="Arial" w:cs="Arial" w:eastAsia="Arial" w:hAnsi="Arial"/>
          <w:color w:val="1A1A1A"/>
          <w:sz w:val="20"/>
          <w:szCs w:val="20"/>
        </w:rPr>
        <w:t xml:space="preserve">This finding requires UTCI specifically because:</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The floor shift is a distributional claim — it describes the minimum, average, and maximum of a continuous variable across all hours and grid points, not a single peak event.</w:t>
      </w:r>
    </w:p>
    <w:p>
      <w:pPr>
        <w:pStyle w:val="ListParagraph"/>
        <w:numPr>
          <w:ilvl w:val="0"/>
          <w:numId w:val="2"/>
        </w:numPr>
        <w:spacing w:after="40" w:before="40"/>
      </w:pPr>
      <w:r>
        <w:rPr>
          <w:rFonts w:ascii="Arial" w:cs="Arial" w:eastAsia="Arial" w:hAnsi="Arial"/>
          <w:b w:val="false"/>
          <w:bCs w:val="false"/>
          <w:color w:val="1A1A1A"/>
          <w:sz w:val="20"/>
          <w:szCs w:val="20"/>
        </w:rPr>
        <w:t xml:space="preserve">It depends on MRT (radiation) as much as air temperature. Bangkok's extreme solar radiation load is a primary driver of 2070 UTCI peaks. A dry-bulb-only analysis would produce a floor shift figure roughly 5–8°C lower, obscuring the severity.</w:t>
      </w:r>
    </w:p>
    <w:p>
      <w:pPr>
        <w:pStyle w:val="ListParagraph"/>
        <w:numPr>
          <w:ilvl w:val="0"/>
          <w:numId w:val="2"/>
        </w:numPr>
        <w:spacing w:after="40" w:before="40"/>
      </w:pPr>
      <w:r>
        <w:rPr>
          <w:rFonts w:ascii="Arial" w:cs="Arial" w:eastAsia="Arial" w:hAnsi="Arial"/>
          <w:b w:val="false"/>
          <w:bCs w:val="false"/>
          <w:color w:val="1A1A1A"/>
          <w:sz w:val="20"/>
          <w:szCs w:val="20"/>
        </w:rPr>
        <w:t xml:space="preserve">The stress category thresholds (Strong / Very strong / Extreme) are calibrated to human physiology, not arbitrary temperature bands. Only UTCI provides these categories in a form validated for outdoor tropical conditions.</w:t>
      </w:r>
    </w:p>
    <w:p>
      <w:pPr>
        <w:spacing w:after="80" w:before="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200"/>
      </w:tblGrid>
      <w:tr>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Present (EPW)</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2070 (SSP5-8.5)</w:t>
            </w:r>
          </w:p>
        </w:tc>
      </w:tr>
      <w:tr>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UTCI Minimum</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33.8°C  (Strong heat stress)</w:t>
            </w:r>
          </w:p>
        </w:tc>
        <w:tc>
          <w:tcPr>
            <w:tcW w:type="dxa" w:w="32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bCs/>
                <w:color w:val="1A1A1A"/>
                <w:sz w:val="20"/>
                <w:szCs w:val="20"/>
              </w:rPr>
              <w:t xml:space="preserve">38.2°C  (Very strong heat stress)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UTCI Average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37.6°C  (Strong heat stress)</w:t>
            </w:r>
          </w:p>
        </w:tc>
        <w:tc>
          <w:tcPr>
            <w:tcW w:type="dxa" w:w="32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bCs/>
                <w:color w:val="1A1A1A"/>
                <w:sz w:val="20"/>
                <w:szCs w:val="20"/>
              </w:rPr>
              <w:t xml:space="preserve">42.2°C  (Very strong heat stress)</w:t>
            </w:r>
          </w:p>
        </w:tc>
      </w:tr>
      <w:tr>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UTCI Maximum</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42.3°C  (Very strong heat stress)</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47.6°C  (EXTREME heat stress)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 35°C / yr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149 hrs</w:t>
            </w:r>
          </w:p>
        </w:tc>
        <w:tc>
          <w:tcPr>
            <w:tcW w:type="dxa" w:w="32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rFonts w:ascii="Arial" w:cs="Arial" w:eastAsia="Arial" w:hAnsi="Arial"/>
                <w:b/>
                <w:bCs/>
                <w:color w:val="1A1A1A"/>
                <w:sz w:val="20"/>
                <w:szCs w:val="20"/>
              </w:rPr>
              <w:t xml:space="preserve">1,261 hrs  (×8.5)</w:t>
            </w:r>
          </w:p>
        </w:tc>
      </w:tr>
      <w:tr>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 38°C / yr</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hrs</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186 hrs  (×62)</w:t>
            </w:r>
          </w:p>
        </w:tc>
      </w:tr>
    </w:tbl>
    <w:p>
      <w:pPr>
        <w:spacing w:after="160" w:before="60"/>
        <w:jc w:val="center"/>
      </w:pPr>
      <w:r>
        <w:rPr>
          <w:rFonts w:ascii="Arial" w:cs="Arial" w:eastAsia="Arial" w:hAnsi="Arial"/>
          <w:color w:val="595959"/>
          <w:sz w:val="18"/>
          <w:szCs w:val="18"/>
        </w:rPr>
        <w:t xml:space="preserve">Table 3 — Present vs 2070 UTCI comparison, Bangkok generic block. Morphing method: Normal Shift Pattern, CURA-lab Future Weather Tool, target 2070, SSP5-8.5, all models.</w:t>
      </w:r>
    </w:p>
    <w:p>
      <w:pPr>
        <w:pStyle w:val="Heading1"/>
        <w:pBdr>
          <w:bottom w:val="single" w:color="2E75B6" w:sz="6" w:space="4"/>
        </w:pBdr>
        <w:spacing w:after="120" w:before="360"/>
      </w:pPr>
      <w:r>
        <w:rPr>
          <w:rFonts w:ascii="Arial" w:cs="Arial" w:eastAsia="Arial" w:hAnsi="Arial"/>
          <w:b/>
          <w:bCs/>
          <w:color w:val="1F4E79"/>
          <w:sz w:val="32"/>
          <w:szCs w:val="32"/>
        </w:rPr>
        <w:t xml:space="preserve">4.  Design Implications That UTCI Directly Generates</w:t>
      </w:r>
    </w:p>
    <w:p>
      <w:pPr>
        <w:spacing w:after="120" w:before="0"/>
      </w:pPr>
      <w:r>
        <w:rPr>
          <w:rFonts w:ascii="Arial" w:cs="Arial" w:eastAsia="Arial" w:hAnsi="Arial"/>
          <w:color w:val="1A1A1A"/>
          <w:sz w:val="20"/>
          <w:szCs w:val="20"/>
        </w:rPr>
        <w:t xml:space="preserve">Selecting UTCI as the primary metric is not merely an analytical choice — it is a form-finding decision. Each output parameter maps directly to a spatial or tectonic design decision:</w:t>
      </w:r>
    </w:p>
    <w:p>
      <w:pPr>
        <w:spacing w:after="80" w:before="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200"/>
      </w:tblGrid>
      <w:tr>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UTCI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Design Driver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Spatial / Tectonic Response</w:t>
            </w:r>
          </w:p>
        </w:tc>
      </w:tr>
      <w:tr>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UTCI gradient map (site)</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Thermal zone delineation</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Spatial layout — where transition zones, cooling hall, and semi-outdoor areas are placed</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Peak UTCI hours per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Programme timing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Occupancy schedule — when the cooling hall must be fully conditioned vs passive-adequate</w:t>
            </w:r>
          </w:p>
        </w:tc>
      </w:tr>
      <w:tr>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UTCI reduction per shading depth increment</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Canopy / facade depth optimisation</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 to MOO Phase 07 — shading geometry balanced against spatial openness and structure</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 38°C (Very strong) vs ≥ 46°C (Extreme)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Mechanical vs passive threshold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Determines what proportion of programme requires active cooling vs passive transition shading</w:t>
            </w:r>
          </w:p>
        </w:tc>
      </w:tr>
      <w:tr>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UTCI by district overlay × vulnerable population density</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Site selection criterion</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Highest UTCI exposure × highest density of elderly and children = priority site</w:t>
            </w:r>
          </w:p>
        </w:tc>
      </w:tr>
    </w:tbl>
    <w:p>
      <w:pPr>
        <w:spacing w:after="160" w:before="60"/>
        <w:jc w:val="center"/>
      </w:pPr>
      <w:r>
        <w:rPr>
          <w:rFonts w:ascii="Arial" w:cs="Arial" w:eastAsia="Arial" w:hAnsi="Arial"/>
          <w:color w:val="595959"/>
          <w:sz w:val="18"/>
          <w:szCs w:val="18"/>
        </w:rPr>
        <w:t xml:space="preserve">Table 4 — How UTCI outputs directly generate design decisions in this thesis.</w:t>
      </w:r>
    </w:p>
    <w:p>
      <w:pPr>
        <w:pStyle w:val="Heading1"/>
        <w:pBdr>
          <w:bottom w:val="single" w:color="2E75B6" w:sz="6" w:space="4"/>
        </w:pBdr>
        <w:spacing w:after="120" w:before="360"/>
      </w:pPr>
      <w:r>
        <w:rPr>
          <w:rFonts w:ascii="Arial" w:cs="Arial" w:eastAsia="Arial" w:hAnsi="Arial"/>
          <w:b/>
          <w:bCs/>
          <w:color w:val="1F4E79"/>
          <w:sz w:val="32"/>
          <w:szCs w:val="32"/>
        </w:rPr>
        <w:t xml:space="preserve">5.  Limitations of UTCI and How This Thesis Addresses Them</w:t>
      </w:r>
    </w:p>
    <w:p>
      <w:pPr>
        <w:spacing w:after="120" w:before="0"/>
      </w:pPr>
      <w:r>
        <w:rPr>
          <w:rFonts w:ascii="Arial" w:cs="Arial" w:eastAsia="Arial" w:hAnsi="Arial"/>
          <w:color w:val="1A1A1A"/>
          <w:sz w:val="20"/>
          <w:szCs w:val="20"/>
        </w:rPr>
        <w:t xml:space="preserve">UTCI is the primary metric but is not treated as a complete picture in isolation. Two acknowledged limitations and their methodological responses:</w:t>
      </w:r>
    </w:p>
    <w:p>
      <w:pPr>
        <w:spacing w:after="80" w:before="0"/>
      </w:pPr>
      <w:r>
        <w:t xml:space="preserve"/>
      </w:r>
    </w:p>
    <w:p>
      <w:pPr>
        <w:spacing w:after="60" w:before="160"/>
      </w:pPr>
      <w:r>
        <w:rPr>
          <w:rFonts w:ascii="Arial" w:cs="Arial" w:eastAsia="Arial" w:hAnsi="Arial"/>
          <w:b/>
          <w:bCs/>
          <w:color w:val="1A1A1A"/>
          <w:sz w:val="22"/>
          <w:szCs w:val="22"/>
        </w:rPr>
        <w:t xml:space="preserve">5.1  UTCI assumes a standard reference person (walking, 0.9 clo)</w:t>
      </w:r>
    </w:p>
    <w:p>
      <w:pPr>
        <w:spacing w:after="120" w:before="0"/>
      </w:pPr>
      <w:r>
        <w:rPr>
          <w:rFonts w:ascii="Arial" w:cs="Arial" w:eastAsia="Arial" w:hAnsi="Arial"/>
          <w:color w:val="1A1A1A"/>
          <w:sz w:val="20"/>
          <w:szCs w:val="20"/>
        </w:rPr>
        <w:t xml:space="preserve">UTCI is calibrated to a 35-year-old person walking at 4 km/h in standard clothing. Outdoor laborers resting in the sun, elderly residents moving slowly, and young children have different metabolic rates and surface-area-to-mass ratios — meaning their actual thermal stress is higher than UTCI reports. This thesis treats UTCI as a conservative lower bound for vulnerable group exposure, not a precise per-person prediction.</w:t>
      </w:r>
    </w:p>
    <w:p>
      <w:pPr>
        <w:spacing w:after="80" w:before="0"/>
      </w:pPr>
      <w:r>
        <w:t xml:space="preserve"/>
      </w:r>
    </w:p>
    <w:p>
      <w:pPr>
        <w:spacing w:after="60" w:before="160"/>
      </w:pPr>
      <w:r>
        <w:rPr>
          <w:rFonts w:ascii="Arial" w:cs="Arial" w:eastAsia="Arial" w:hAnsi="Arial"/>
          <w:b/>
          <w:bCs/>
          <w:color w:val="1A1A1A"/>
          <w:sz w:val="22"/>
          <w:szCs w:val="22"/>
        </w:rPr>
        <w:t xml:space="preserve">5.2  UTCI does not encode absolute physiological survivability</w:t>
      </w:r>
    </w:p>
    <w:p>
      <w:pPr>
        <w:spacing w:after="120" w:before="0"/>
      </w:pPr>
      <w:r>
        <w:rPr>
          <w:rFonts w:ascii="Arial" w:cs="Arial" w:eastAsia="Arial" w:hAnsi="Arial"/>
          <w:color w:val="1A1A1A"/>
          <w:sz w:val="20"/>
          <w:szCs w:val="20"/>
        </w:rPr>
        <w:t xml:space="preserve">UTCI communicates stress categories but does not directly state whether the body can cool itself at all. Wet-bulb temperature analysis (Methodology Phase 05) is included specifically to address this: when wet-bulb temperature exceeds approximately 35°C, evaporative cooling fails regardless of UTCI category. This is the true survivability threshold. UTCI maps the gradient; wet-bulb defines the floor below which no passive design can succeed. Together they bracket the design problem precisely.</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5.3  Supplementary metrics considered</w:t>
      </w:r>
    </w:p>
    <w:p>
      <w:pPr>
        <w:spacing w:after="120" w:before="0"/>
      </w:pPr>
      <w:r>
        <w:rPr>
          <w:rFonts w:ascii="Arial" w:cs="Arial" w:eastAsia="Arial" w:hAnsi="Arial"/>
          <w:color w:val="1A1A1A"/>
          <w:sz w:val="20"/>
          <w:szCs w:val="20"/>
        </w:rPr>
        <w:t xml:space="preserve">The following metrics were evaluated as alternatives or supplements:</w:t>
      </w:r>
    </w:p>
    <w:p>
      <w:pPr>
        <w:spacing w:after="60" w:before="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212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EPW Inputs Used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Outdoor Calibrated?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Climate Projection Ready?</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Thesis Suitability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UTCI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(Tair, MRT, RH, 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metric — recommended</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(Tair, MRT, RH, v)</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 alternative — less standard in Asia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PMV/PPD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(Tair, MRT, RH)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(indoor)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appropriate for outdoor</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WBGT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(Tair, RH, Tglobe)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Supplementary — occupational health ref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(Tair, RH)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 simple — misses radiation &amp; wind</w:t>
            </w:r>
          </w:p>
        </w:tc>
      </w:tr>
    </w:tbl>
    <w:p>
      <w:pPr>
        <w:spacing w:after="160" w:before="60"/>
        <w:jc w:val="center"/>
      </w:pPr>
      <w:r>
        <w:rPr>
          <w:rFonts w:ascii="Arial" w:cs="Arial" w:eastAsia="Arial" w:hAnsi="Arial"/>
          <w:color w:val="595959"/>
          <w:sz w:val="18"/>
          <w:szCs w:val="18"/>
        </w:rPr>
        <w:t xml:space="preserve">Table 5 — Comfort metric comparison. UTCI and PET are the only metrics fully calibrated for outdoor, climate-projection contexts. PET is a valid alternative but is less frequently used in Asian urban heat research, making UTCI more appropriate for literature comparison.</w:t>
      </w:r>
    </w:p>
    <w:p>
      <w:pPr>
        <w:spacing w:after="80" w:before="0"/>
      </w:pPr>
      <w:r>
        <w:t xml:space="preserve"/>
      </w:r>
    </w:p>
    <w:p>
      <w:pPr>
        <w:spacing w:after="120" w:before="0"/>
      </w:pPr>
      <w:r>
        <w:rPr>
          <w:rFonts w:ascii="Arial" w:cs="Arial" w:eastAsia="Arial" w:hAnsi="Arial"/>
          <w:color w:val="1A1A1A"/>
          <w:sz w:val="20"/>
          <w:szCs w:val="20"/>
        </w:rPr>
        <w:t xml:space="preserve">WBGT is referenced in Section 5.2 above as a supplementary framing device to connect the thesis to occupational health standards (ISO 7243, WHO guidance for outdoor laborers). It is not used as a design driver.</w:t>
      </w:r>
    </w:p>
    <w:p>
      <w:pPr>
        <w:pStyle w:val="Heading1"/>
        <w:pBdr>
          <w:bottom w:val="single" w:color="2E75B6" w:sz="6" w:space="4"/>
        </w:pBdr>
        <w:spacing w:after="120" w:before="360"/>
      </w:pPr>
      <w:r>
        <w:rPr>
          <w:rFonts w:ascii="Arial" w:cs="Arial" w:eastAsia="Arial" w:hAnsi="Arial"/>
          <w:b/>
          <w:bCs/>
          <w:color w:val="1F4E79"/>
          <w:sz w:val="32"/>
          <w:szCs w:val="32"/>
        </w:rPr>
        <w:t xml:space="preserve">6.  Why This Metric Choice Supports the Thesis Argument</w:t>
      </w:r>
    </w:p>
    <w:p>
      <w:pPr>
        <w:spacing w:after="120" w:before="0"/>
      </w:pPr>
      <w:r>
        <w:rPr>
          <w:rFonts w:ascii="Arial" w:cs="Arial" w:eastAsia="Arial" w:hAnsi="Arial"/>
          <w:color w:val="1A1A1A"/>
          <w:sz w:val="20"/>
          <w:szCs w:val="20"/>
        </w:rPr>
        <w:t xml:space="preserve">The thesis position is that Bangkok's 2070 outdoor thermal condition crosses a threshold that fundamentally changes the spatial relationship between public life and buildings. That argument requires:</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A metric that captures compound heat exposure — not air temperature alone. UTCI does this.</w:t>
      </w:r>
    </w:p>
    <w:p>
      <w:pPr>
        <w:pStyle w:val="ListParagraph"/>
        <w:numPr>
          <w:ilvl w:val="0"/>
          <w:numId w:val="2"/>
        </w:numPr>
        <w:spacing w:after="40" w:before="40"/>
      </w:pPr>
      <w:r>
        <w:rPr>
          <w:rFonts w:ascii="Arial" w:cs="Arial" w:eastAsia="Arial" w:hAnsi="Arial"/>
          <w:b w:val="false"/>
          <w:bCs w:val="false"/>
          <w:color w:val="1A1A1A"/>
          <w:sz w:val="20"/>
          <w:szCs w:val="20"/>
        </w:rPr>
        <w:t xml:space="preserve">A metric that produces categorical severity levels tied to human physiology — not arbitrary thresholds. UTCI's stress categories (Strong / Very strong / Extreme) are those levels.</w:t>
      </w:r>
    </w:p>
    <w:p>
      <w:pPr>
        <w:pStyle w:val="ListParagraph"/>
        <w:numPr>
          <w:ilvl w:val="0"/>
          <w:numId w:val="2"/>
        </w:numPr>
        <w:spacing w:after="40" w:before="40"/>
      </w:pPr>
      <w:r>
        <w:rPr>
          <w:rFonts w:ascii="Arial" w:cs="Arial" w:eastAsia="Arial" w:hAnsi="Arial"/>
          <w:b w:val="false"/>
          <w:bCs w:val="false"/>
          <w:color w:val="1A1A1A"/>
          <w:sz w:val="20"/>
          <w:szCs w:val="20"/>
        </w:rPr>
        <w:t xml:space="preserve">A metric that can be used as a form-finding input in Grasshopper + Ladybug, compatible with parametric optimisation workflows. UTCI has direct Ladybug Tools implementation.</w:t>
      </w:r>
    </w:p>
    <w:p>
      <w:pPr>
        <w:pStyle w:val="ListParagraph"/>
        <w:numPr>
          <w:ilvl w:val="0"/>
          <w:numId w:val="2"/>
        </w:numPr>
        <w:spacing w:after="40" w:before="40"/>
      </w:pPr>
      <w:r>
        <w:rPr>
          <w:rFonts w:ascii="Arial" w:cs="Arial" w:eastAsia="Arial" w:hAnsi="Arial"/>
          <w:b w:val="false"/>
          <w:bCs w:val="false"/>
          <w:color w:val="1A1A1A"/>
          <w:sz w:val="20"/>
          <w:szCs w:val="20"/>
        </w:rPr>
        <w:t xml:space="preserve">A metric that works with morphed future EPW files, specifically the Normal Shift Pattern output from CURA-lab. UTCI takes the same EPW inputs regardless of whether the file is present-day or morphed — the methodology is temporally neutral.</w:t>
      </w:r>
    </w:p>
    <w:p>
      <w:pPr>
        <w:pStyle w:val="ListParagraph"/>
        <w:numPr>
          <w:ilvl w:val="0"/>
          <w:numId w:val="2"/>
        </w:numPr>
        <w:spacing w:after="40" w:before="40"/>
      </w:pPr>
      <w:r>
        <w:rPr>
          <w:rFonts w:ascii="Arial" w:cs="Arial" w:eastAsia="Arial" w:hAnsi="Arial"/>
          <w:b w:val="false"/>
          <w:bCs w:val="false"/>
          <w:color w:val="1A1A1A"/>
          <w:sz w:val="20"/>
          <w:szCs w:val="20"/>
        </w:rPr>
        <w:t xml:space="preserve">A metric whose output changes are legible to a non-specialist audience (advisors, juries, policymakers). Saying 'the entire city shifts from Strong to Very strong heat stress' is communicable. A raw wet-bulb number is not.</w:t>
      </w:r>
    </w:p>
    <w:p>
      <w:pPr>
        <w:spacing w:after="80" w:before="0"/>
      </w:pPr>
      <w:r>
        <w:t xml:space="preserve"/>
      </w:r>
    </w:p>
    <w:p>
      <w:pPr>
        <w:spacing w:after="120" w:before="0"/>
      </w:pPr>
      <w:r>
        <w:rPr>
          <w:rFonts w:ascii="Arial" w:cs="Arial" w:eastAsia="Arial" w:hAnsi="Arial"/>
          <w:color w:val="1A1A1A"/>
          <w:sz w:val="20"/>
          <w:szCs w:val="20"/>
        </w:rPr>
        <w:t xml:space="preserve">No other single metric satisfies all five conditions simultaneously. This is the methodological justification for selecting UTCI as the primary performance evaluation index for this thesis.</w:t>
      </w:r>
    </w:p>
    <w:p>
      <w:pPr>
        <w:spacing w:after="120" w:before="0"/>
      </w:pPr>
      <w:r>
        <w:t xml:space="preserve"/>
      </w:r>
    </w:p>
    <w:p>
      <w:pPr>
        <w:pBdr>
          <w:top w:val="single" w:color="2E75B6" w:sz="4" w:space="8"/>
        </w:pBdr>
        <w:spacing w:after="60" w:before="120"/>
      </w:pPr>
      <w:r>
        <w:rPr>
          <w:rFonts w:ascii="Arial" w:cs="Arial" w:eastAsia="Arial" w:hAnsi="Arial"/>
          <w:color w:val="595959"/>
          <w:sz w:val="18"/>
          <w:szCs w:val="18"/>
        </w:rPr>
        <w:t xml:space="preserve">Document Classification: Methodology Note — Thesis Working Document</w:t>
      </w:r>
    </w:p>
    <w:p>
      <w:pPr>
        <w:spacing w:after="0" w:before="0"/>
      </w:pPr>
      <w:r>
        <w:rPr>
          <w:rFonts w:ascii="Arial" w:cs="Arial" w:eastAsia="Arial" w:hAnsi="Arial"/>
          <w:color w:val="595959"/>
          <w:sz w:val="18"/>
          <w:szCs w:val="18"/>
        </w:rPr>
        <w:t xml:space="preserve">File reference: 65020505_UTCI_metric_rationale.docx     |     Atin Punyanitya     |     KMITL Architecture     |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2026-06-13T16:06:35.853Z</dcterms:created>
  <dcterms:modified xsi:type="dcterms:W3CDTF">2026-06-13T16:06:35.854Z</dcterms:modified>
</cp:coreProperties>
</file>

<file path=docProps/custom.xml><?xml version="1.0" encoding="utf-8"?>
<Properties xmlns="http://schemas.openxmlformats.org/officeDocument/2006/custom-properties" xmlns:vt="http://schemas.openxmlformats.org/officeDocument/2006/docPropsVTypes"/>
</file>