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THESIS RESEARCH BRIEF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Living Context Document — Upload at the Start of Every Session</w:t>
      </w:r>
    </w:p>
    <w:p>
      <w:pPr>
        <w:pBdr>
          <w:bottom w:val="single" w:color="DDDDDD" w:sz="2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Atin Punyanitya  (65020505)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KMITL — Faculty of Architecture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Thesis Development  |  Year 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Internship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IRIs A49 — current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Computational design, environmental analysis tools (Grasshopper, Ladybug/Honeybee, CURA-lab)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Research Context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Bangkok is projected to become ASEAN's hottest major city by 2050. By 2070 (SSP5-8.5 scenario), a UTCI analysis experiment on a generic Bangkok block shows the following critical finding: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Finding — UTCI Floor Shift (2070, SSP5-8.5)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 UTCI min / avg / max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33.8°C (Strong)  /  37.6°C (Strong)  /  42.3°C (Very strong)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Future UTCI min / avg / max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38.2°C (Very strong)  /  42.2°C (Very strong)  /  47.6°C (EXTREME)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future minimum (38.2°C) exceeds the current average (37.6°C). No outdoor grid point or time period falls below 'Very strong' stress. The entire distribution has shifted up one category.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Hours ≥35°C / yr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Present: 149 hrs  →  Future: 1,261 hrs  (×8.5)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Hours ≥38°C / yr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Present: 3 hrs  →  Future: 186 hrs  (×62)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Morphing 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 Shift Pattern via CURA-lab Future Weather tool (cura-lab.adai.pt), target 2070, SSP5-8.5, all models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 implication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Conventional passive design (shade, orientation, greenery) is necessary but insufficient — it cannot return outdoor space to comfort. It only reduces how deep into danger you are.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Urban Heat Inequity — Bangkok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Bangkok's UHI effect creates district-level temperature disparities — high-risk districts (inner city, low-income, low-green-coverage) are measurably hotter than wealthier tree-covered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Thermal inequity: lower-income populations have least access to cooling infrastructure while facing highest thermal exposure.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Vulnerable groups (elderly 65+, children under 15, outdoor laborers) are concentrated in highest-risk districts — mapping this overlap is the site selection 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Microburst events (wet microburst / 'rain bomb') are a compounding factor: intense, localized wind downdrafts during storms require structural design responses beyond passive thermal logic.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Thesis Position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Research Question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4"/>
                <w:szCs w:val="24"/>
              </w:rPr>
              <w:t xml:space="preserve">When Bangkok's outdoor thermal floor shifts above survivability thresholds by 2070, what spatial typology — derived from projected UTCI data, wet-bulb thresholds, and microburst load conditions — can redefine accessible public thermal refuge as civic infrastructure?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Core Argument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no outdoor condition in Bangkok is thermally survivable without risk (2070 projection), the spatial relationship between public life and building fundamentally changes. Public activity doesn't disappear — it migrates indoors and into transition zones. The building typology that emerges from this condition is not simply a 'green' or 'passive' building — it is civic thermal infrastructure: a designed gradient between extreme exterior exposure and conditioned interior refuge, accessible to all classes.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makes this not typical passive design: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form is not driven by shading geometry or orientation intuition. It is driven by the UTCI floor problem — designing spatial sequences, transition zones, and thermal gradients calibrated to the gap between 47.6°C peak exposure and a defined survivable threshold — using data that cannot be felt or guessed by a designer without simulation.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Proposed Typology — Public Thermal Transit Hub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new civic building type that sits at the intersection of commuter/pedestrian infrastructure and public social space. Designed so that the daily movement of low-income outdoor workers and vulnerable residents passes through thermally conditioned public space without requiring payment.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satisfies KMITL's building-type requirement (real program, functional correctness) while being a genuinely new typology — not a wellness centre, not a shopping mall, not a park. A building whose spatial logic is entirely derived from climate data.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Program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Shaded public arrival / transition zone (semi-outdoor, data-driven depth)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Covered pedestrian corridors connecting to transit / street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Publicly accessible cooling hall (no entry fee — civic infrastructure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Community services: water stations, first aid, informal vendor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Upper program: community facilities, flexible civic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Building envelope / skin: kinetic or data-responsive, calibrated to 2070 UTCI + microburst wind loads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Methodology — Data to Form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14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/ Method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Architectural Output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01  Climate baseline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Morphed EPW (2070, SSP5-8.5) via CURA-lab. Key fields: dry bulb, dew point, relative humidity, GHR, DNR, wind direction, wind speed.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Defines the thermal envelope the building must perform against. Calibrates shading depth, insulation thresholds, wet-bulb survivability hours.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02  UTCI mapping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Grasshopper + Ladybug UTCI analysis on site geometry. Compare present vs 2070 EPW. Identify thermal gradient zones.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Form-finding driver — spatial layout follows the UTCI gradient from extreme exterior to refuge interior.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03  Site selection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Overlay: district UHI risk map × vulnerable population density (elderly + children) × transit accessibility.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 is not chosen aesthetically — it is the intersection of highest heat risk and highest vulnerable user density.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04  Wind / microburst load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EPW Field 22 peak wind spikes (microburst events). Structural load testing.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Tectonic and structural logic. Kinetic facade safety overrides. Not just shading — storm-resilience as a design generator.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05  Wet-bulb threshold analysis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Relative humidity × dry bulb → wet-bulb temperature. Hours exceeding survivable threshold per year.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Determines how much of the program needs active mechanical cooling vs passive transition vs fully open — and for how many hours per day.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06  Spatial / behavioral data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Pedestrian movement data, occupancy patterns, user group analysis (outdoor laborers, elderly, children).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Program distribution — where each user group moves through the thermal gradient. Space syntax if applicable.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07  Form optimization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Genetic algorithm or multi-objective optimization (MOO) in Grasshopper — simultaneously optimizing UTCI performance, shading coverage, and spatial accessibility.</w:t>
            </w:r>
          </w:p>
        </w:tc>
        <w:tc>
          <w:tcPr>
            <w:tcW w:type="dxa" w:w="3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form is the output of competing optimization goals — not a designer's intuition.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Theoretical Lineage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From pre-thesis research (A Study on Computational Methods and Workflow to Achieve Data Responsive Design, Atin Punyanitya, 2026):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/ Author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Thesis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1995 — Frazer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Evolutionary Architecture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Genetic rules + environmental criteria → form generation. Basis for GA/MOO form-finding in Phase 07.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1999 — Lynn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Animate Form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and motion as design inputs. Supports kinetic facade logic driven by UTCI + wind data.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2003 — Digital Tectonics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Physical-virtual intersection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Fabrication logic follows computational form — not post-rationalization.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2008 — Schumacher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Parametricism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elements parametrically linked — change one climate variable, entire system adapts.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computational methods from pre-thesis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Genetic Algorithm (GA) — structural optimization (Hyundai Motorstudio precedent)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Multi-Objective Optimization (MOO) — competing goals simultaneously (SERENE project precedent)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Behavioral Model / Agent-Based — pedestrian movement simulation (Spyropoulos precedent)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Self-Organizing Maps (SOM) — spatial data clustering and floor plan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Cellular Automata — generative massing rules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Advisor Feedback &amp; Responses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Advisor Comment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Response / Design Decision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Search for a new typology — visionary programming, new way of using space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Thermal Transit Hub — civic infrastructure typology that does not yet exist. Spatial logic derived from UTCI gradient, not building conventions.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itself may not solve inequity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Thesis claims: demonstrating a building typology that operationalizes spatial equity under 2070 thermal conditions — not solving social inequality. The building is evidence, not a policy claim.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Energy problems may be solved by nuclear — don't anchor argument there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Argument is about spatial quality, thermal comfort, and public access — not energy scarcity. Thesis stands regardless of how energy is produced.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 many 'what ifs' — commit to 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position: projected climate data drives architecture. The hub is a programmatic consequence of that, not a separate hypothesis.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More factors to drive form — otherwise just typical passive design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 drivers: UTCI floor shift + wet-bulb threshold hours + microburst wind loads + social thermal exposure mapping (district UHI × vulnerable population) — simultaneously, via MOO. Cannot be designed intuitively.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Work Already Produced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Pre-thesis research paper: theoretical lineage (Frazer → Schumacher), 7 computational method studies with case studies, workflow synthesis diagram with feedback loops.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Thermal inequity research document: Bangkok UHI projections, district heat risk classification map, vulnerable population mapping (children + elderly by district), comparative city analysis (Jakarta, India, Singapore).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UTCI experiment (unpresented): morphed EPW 2070 SSP5-8.5 via CURA-lab, Grasshopper UTCI analysis comparing present vs future on a Bangkok block. Key finding: future minimum exceeds current average — entire stress category shifted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EPW field analysis table: all relevant fields (dry bulb, dew point, humidity, GHR, DNR, wind direction, wind speed) mapped to architectural implications for 2075–2100.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Morphing method comparison: Simple Shift vs Bounded Weighted Stretch (BTWS) — understanding what each preserves and what changes, and that current results likely underestimate peak stress.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Present UTCI experiment to advisors as preliminary finding — frame as 'UTCI floor shift'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second data layer: overlay district UHI risk map × vulnerable population density → site selection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Commit to a specific district (high heat risk + high vulnerable population + transit accessibility).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Define the spatial program in more detail — transition zone dimensions, thermal gradient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Begin precedent study: Singapore hawker centres (thermal-civic hybrid), Japan cooling centers (policy-level refuge), kinetic facade projects (Al Bahr Towers).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Session Handoff Notes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this document at the start of every new Claude session. Add notes below to brief Claude on what has changed since the last session.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Focus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Decisions / Updates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setup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Thesis brief created. UTCI experiment documented. Advisor feedback responses drafted. Typology: Public Thermal Transit Hub.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produced so far (keep these in your thesis folder):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65020505_pre-thesis_computational_methods.pdf — pre-thesis research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UHI_thermal_inequity.pdf — thermal inequity research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UTCI_experiment_2070.pdf — present vs future UTCI comparison (UNPRESENTED)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thesis_brief.docx — this document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2"/>
        </w:pBdr>
        <w:spacing w:after="8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Atin Punyanitya  —  KMITL Architecture  —  Thesis Brief  —  June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Atin Punyanitya — Thesis Brief  |  KMITL Architecture  |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2026-06-03T05:24:54.073Z</dcterms:created>
  <dcterms:modified xsi:type="dcterms:W3CDTF">2026-06-03T05:24:54.073Z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