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eta"/>
      </w:pPr>
      <w:r>
        <w:rPr>
          <w:rFonts w:ascii="Noto Sans CJK SC" w:hAnsi="Noto Sans CJK SC" w:eastAsia="Noto Sans CJK SC"/>
        </w:rPr>
        <w:t>NUS-ISS  |  智能推理系统证书课程</w:t>
      </w:r>
    </w:p>
    <w:p>
      <w:pPr>
        <w:pStyle w:val="Subtitle"/>
      </w:pPr>
      <w:r>
        <w:rPr>
          <w:rFonts w:ascii="Noto Sans CJK SC" w:hAnsi="Noto Sans CJK SC" w:eastAsia="Noto Sans CJK SC"/>
        </w:rPr>
        <w:t>项目提案</w:t>
      </w:r>
    </w:p>
    <w:p>
      <w:pPr>
        <w:pStyle w:val="Title"/>
      </w:pPr>
      <w:r>
        <w:t>TenderCheck</w:t>
      </w:r>
    </w:p>
    <w:p>
      <w:pPr>
        <w:pStyle w:val="Subtitle"/>
      </w:pPr>
      <w:r>
        <w:rPr>
          <w:rFonts w:ascii="Noto Sans CJK SC" w:hAnsi="Noto Sans CJK SC" w:eastAsia="Noto Sans CJK SC"/>
        </w:rPr>
        <w:t>面向土木与水利工程承包商的</w:t>
        <w:br/>
        <w:t>基于证据的投标合规审查助手</w:t>
      </w:r>
    </w:p>
    <w:p>
      <w:pPr>
        <w:pStyle w:val="Meta"/>
      </w:pPr>
      <w:r>
        <w:t>工程投标文件合规审查助手</w:t>
      </w:r>
    </w:p>
    <w:p>
      <w:pPr>
        <w:pStyle w:val="Meta"/>
      </w:pPr>
      <w:r>
        <w:rPr>
          <w:rFonts w:ascii="Noto Sans CJK SC" w:hAnsi="Noto Sans CJK SC" w:eastAsia="Noto Sans CJK SC"/>
        </w:rPr>
        <w:t>草案 v0.1  |  编制日期：2026年9月7日</w:t>
      </w:r>
    </w:p>
    <w:p>
      <w:pPr>
        <w:pStyle w:val="Meta"/>
      </w:pPr>
      <w:r>
        <w:rPr>
          <w:rFonts w:ascii="Noto Sans CJK SC" w:hAnsi="Noto Sans CJK SC" w:eastAsia="Noto Sans CJK SC"/>
        </w:rPr>
        <w:t>Canvas 组号：[待填写]  |  组名：[待填写]</w:t>
      </w:r>
    </w:p>
    <w:p>
      <w:pPr>
        <w:pStyle w:val="Meta"/>
      </w:pPr>
      <w:r>
        <w:rPr>
          <w:rFonts w:ascii="Noto Sans CJK SC" w:hAnsi="Noto Sans CJK SC" w:eastAsia="Noto Sans CJK SC"/>
        </w:rPr>
        <w:t>组长：[待填写]  |  汇报日期：[待确认]</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900"/>
        <w:gridCol w:w="4260"/>
        <w:gridCol w:w="4200"/>
      </w:tblGrid>
      <w:tr>
        <w:trPr>
          <w:cantSplit/>
          <w:tblHeader/>
        </w:trPr>
        <w:tc>
          <w:tcPr>
            <w:tcW w:type="dxa" w:w="900"/>
            <w:tcMar>
              <w:top w:w="80" w:type="dxa"/>
              <w:bottom w:w="80" w:type="dxa"/>
              <w:start w:w="120" w:type="dxa"/>
              <w:end w:w="120" w:type="dxa"/>
            </w:tcMar>
            <w:vAlign w:val="center"/>
            <w:shd w:fill="F4F6F9"/>
          </w:tcPr>
          <w:p>
            <w:pPr>
              <w:pStyle w:val="TableHead"/>
            </w:pPr>
            <w:r>
              <w:rPr>
                <w:rFonts w:ascii="Noto Sans CJK SC" w:hAnsi="Noto Sans CJK SC" w:eastAsia="Noto Sans CJK SC"/>
              </w:rPr>
              <w:t>序号</w:t>
            </w:r>
          </w:p>
        </w:tc>
        <w:tc>
          <w:tcPr>
            <w:tcW w:type="dxa" w:w="4260"/>
            <w:tcMar>
              <w:top w:w="80" w:type="dxa"/>
              <w:bottom w:w="80" w:type="dxa"/>
              <w:start w:w="120" w:type="dxa"/>
              <w:end w:w="120" w:type="dxa"/>
            </w:tcMar>
            <w:vAlign w:val="center"/>
            <w:shd w:fill="F4F6F9"/>
          </w:tcPr>
          <w:p>
            <w:pPr>
              <w:pStyle w:val="TableHead"/>
            </w:pPr>
            <w:r>
              <w:rPr>
                <w:rFonts w:ascii="Noto Sans CJK SC" w:hAnsi="Noto Sans CJK SC" w:eastAsia="Noto Sans CJK SC"/>
              </w:rPr>
              <w:t>官方全名</w:t>
            </w:r>
          </w:p>
        </w:tc>
        <w:tc>
          <w:tcPr>
            <w:tcW w:type="dxa" w:w="4200"/>
            <w:tcMar>
              <w:top w:w="80" w:type="dxa"/>
              <w:bottom w:w="80" w:type="dxa"/>
              <w:start w:w="120" w:type="dxa"/>
              <w:end w:w="120" w:type="dxa"/>
            </w:tcMar>
            <w:vAlign w:val="center"/>
            <w:shd w:fill="F4F6F9"/>
          </w:tcPr>
          <w:p>
            <w:pPr>
              <w:pStyle w:val="TableHead"/>
            </w:pPr>
            <w:r>
              <w:rPr>
                <w:rFonts w:ascii="Noto Sans CJK SC" w:hAnsi="Noto Sans CJK SC" w:eastAsia="Noto Sans CJK SC"/>
              </w:rPr>
              <w:t>NUS学号／隐去部分信息的学号</w:t>
            </w:r>
          </w:p>
        </w:tc>
      </w:tr>
      <w:tr>
        <w:trPr>
          <w:cantSplit/>
        </w:trPr>
        <w:tc>
          <w:tcPr>
            <w:tcW w:type="dxa" w:w="900"/>
            <w:tcMar>
              <w:top w:w="80" w:type="dxa"/>
              <w:bottom w:w="80" w:type="dxa"/>
              <w:start w:w="120" w:type="dxa"/>
              <w:end w:w="120" w:type="dxa"/>
            </w:tcMar>
            <w:vAlign w:val="center"/>
          </w:tcPr>
          <w:p>
            <w:pPr>
              <w:pStyle w:val="TableBody"/>
            </w:pPr>
            <w:r>
              <w:t>1</w:t>
            </w:r>
          </w:p>
        </w:tc>
        <w:tc>
          <w:tcPr>
            <w:tcW w:type="dxa" w:w="4260"/>
            <w:tcMar>
              <w:top w:w="80" w:type="dxa"/>
              <w:bottom w:w="80" w:type="dxa"/>
              <w:start w:w="120" w:type="dxa"/>
              <w:end w:w="120" w:type="dxa"/>
            </w:tcMar>
            <w:vAlign w:val="center"/>
          </w:tcPr>
          <w:p>
            <w:pPr>
              <w:pStyle w:val="TableBody"/>
            </w:pPr>
            <w:r>
              <w:rPr>
                <w:rFonts w:ascii="Noto Sans CJK SC" w:hAnsi="Noto Sans CJK SC" w:eastAsia="Noto Sans CJK SC"/>
              </w:rPr>
              <w:t>[待填写]</w:t>
            </w:r>
          </w:p>
        </w:tc>
        <w:tc>
          <w:tcPr>
            <w:tcW w:type="dxa" w:w="4200"/>
            <w:tcMar>
              <w:top w:w="80" w:type="dxa"/>
              <w:bottom w:w="80" w:type="dxa"/>
              <w:start w:w="120" w:type="dxa"/>
              <w:end w:w="120" w:type="dxa"/>
            </w:tcMar>
            <w:vAlign w:val="center"/>
          </w:tcPr>
          <w:p>
            <w:pPr>
              <w:pStyle w:val="TableBody"/>
            </w:pPr>
            <w:r>
              <w:rPr>
                <w:rFonts w:ascii="Noto Sans CJK SC" w:hAnsi="Noto Sans CJK SC" w:eastAsia="Noto Sans CJK SC"/>
              </w:rPr>
              <w:t>[待填写]</w:t>
            </w:r>
          </w:p>
        </w:tc>
      </w:tr>
      <w:tr>
        <w:trPr>
          <w:cantSplit/>
        </w:trPr>
        <w:tc>
          <w:tcPr>
            <w:tcW w:type="dxa" w:w="900"/>
            <w:tcMar>
              <w:top w:w="80" w:type="dxa"/>
              <w:bottom w:w="80" w:type="dxa"/>
              <w:start w:w="120" w:type="dxa"/>
              <w:end w:w="120" w:type="dxa"/>
            </w:tcMar>
            <w:vAlign w:val="center"/>
          </w:tcPr>
          <w:p>
            <w:pPr>
              <w:pStyle w:val="TableBody"/>
            </w:pPr>
            <w:r>
              <w:t>2</w:t>
            </w:r>
          </w:p>
        </w:tc>
        <w:tc>
          <w:tcPr>
            <w:tcW w:type="dxa" w:w="4260"/>
            <w:tcMar>
              <w:top w:w="80" w:type="dxa"/>
              <w:bottom w:w="80" w:type="dxa"/>
              <w:start w:w="120" w:type="dxa"/>
              <w:end w:w="120" w:type="dxa"/>
            </w:tcMar>
            <w:vAlign w:val="center"/>
          </w:tcPr>
          <w:p>
            <w:pPr>
              <w:pStyle w:val="TableBody"/>
            </w:pPr>
            <w:r>
              <w:rPr>
                <w:rFonts w:ascii="Noto Sans CJK SC" w:hAnsi="Noto Sans CJK SC" w:eastAsia="Noto Sans CJK SC"/>
              </w:rPr>
              <w:t>[待填写]</w:t>
            </w:r>
          </w:p>
        </w:tc>
        <w:tc>
          <w:tcPr>
            <w:tcW w:type="dxa" w:w="4200"/>
            <w:tcMar>
              <w:top w:w="80" w:type="dxa"/>
              <w:bottom w:w="80" w:type="dxa"/>
              <w:start w:w="120" w:type="dxa"/>
              <w:end w:w="120" w:type="dxa"/>
            </w:tcMar>
            <w:vAlign w:val="center"/>
          </w:tcPr>
          <w:p>
            <w:pPr>
              <w:pStyle w:val="TableBody"/>
            </w:pPr>
            <w:r>
              <w:rPr>
                <w:rFonts w:ascii="Noto Sans CJK SC" w:hAnsi="Noto Sans CJK SC" w:eastAsia="Noto Sans CJK SC"/>
              </w:rPr>
              <w:t>[待填写]</w:t>
            </w:r>
          </w:p>
        </w:tc>
      </w:tr>
      <w:tr>
        <w:trPr>
          <w:cantSplit/>
        </w:trPr>
        <w:tc>
          <w:tcPr>
            <w:tcW w:type="dxa" w:w="900"/>
            <w:tcMar>
              <w:top w:w="80" w:type="dxa"/>
              <w:bottom w:w="80" w:type="dxa"/>
              <w:start w:w="120" w:type="dxa"/>
              <w:end w:w="120" w:type="dxa"/>
            </w:tcMar>
            <w:vAlign w:val="center"/>
          </w:tcPr>
          <w:p>
            <w:pPr>
              <w:pStyle w:val="TableBody"/>
            </w:pPr>
            <w:r>
              <w:t>3</w:t>
            </w:r>
          </w:p>
        </w:tc>
        <w:tc>
          <w:tcPr>
            <w:tcW w:type="dxa" w:w="4260"/>
            <w:tcMar>
              <w:top w:w="80" w:type="dxa"/>
              <w:bottom w:w="80" w:type="dxa"/>
              <w:start w:w="120" w:type="dxa"/>
              <w:end w:w="120" w:type="dxa"/>
            </w:tcMar>
            <w:vAlign w:val="center"/>
          </w:tcPr>
          <w:p>
            <w:pPr>
              <w:pStyle w:val="TableBody"/>
            </w:pPr>
            <w:r>
              <w:rPr>
                <w:rFonts w:ascii="Noto Sans CJK SC" w:hAnsi="Noto Sans CJK SC" w:eastAsia="Noto Sans CJK SC"/>
              </w:rPr>
              <w:t>[待填写]</w:t>
            </w:r>
          </w:p>
        </w:tc>
        <w:tc>
          <w:tcPr>
            <w:tcW w:type="dxa" w:w="4200"/>
            <w:tcMar>
              <w:top w:w="80" w:type="dxa"/>
              <w:bottom w:w="80" w:type="dxa"/>
              <w:start w:w="120" w:type="dxa"/>
              <w:end w:w="120" w:type="dxa"/>
            </w:tcMar>
            <w:vAlign w:val="center"/>
          </w:tcPr>
          <w:p>
            <w:pPr>
              <w:pStyle w:val="TableBody"/>
            </w:pPr>
            <w:r>
              <w:rPr>
                <w:rFonts w:ascii="Noto Sans CJK SC" w:hAnsi="Noto Sans CJK SC" w:eastAsia="Noto Sans CJK SC"/>
              </w:rPr>
              <w:t>[待填写]</w:t>
            </w:r>
          </w:p>
        </w:tc>
      </w:tr>
      <w:tr>
        <w:trPr>
          <w:cantSplit/>
        </w:trPr>
        <w:tc>
          <w:tcPr>
            <w:tcW w:type="dxa" w:w="900"/>
            <w:tcMar>
              <w:top w:w="80" w:type="dxa"/>
              <w:bottom w:w="80" w:type="dxa"/>
              <w:start w:w="120" w:type="dxa"/>
              <w:end w:w="120" w:type="dxa"/>
            </w:tcMar>
            <w:vAlign w:val="center"/>
          </w:tcPr>
          <w:p>
            <w:pPr>
              <w:pStyle w:val="TableBody"/>
            </w:pPr>
            <w:r>
              <w:t>4</w:t>
            </w:r>
          </w:p>
        </w:tc>
        <w:tc>
          <w:tcPr>
            <w:tcW w:type="dxa" w:w="4260"/>
            <w:tcMar>
              <w:top w:w="80" w:type="dxa"/>
              <w:bottom w:w="80" w:type="dxa"/>
              <w:start w:w="120" w:type="dxa"/>
              <w:end w:w="120" w:type="dxa"/>
            </w:tcMar>
            <w:vAlign w:val="center"/>
          </w:tcPr>
          <w:p>
            <w:pPr>
              <w:pStyle w:val="TableBody"/>
            </w:pPr>
            <w:r>
              <w:rPr>
                <w:rFonts w:ascii="Noto Sans CJK SC" w:hAnsi="Noto Sans CJK SC" w:eastAsia="Noto Sans CJK SC"/>
              </w:rPr>
              <w:t>[如适用]</w:t>
            </w:r>
          </w:p>
        </w:tc>
        <w:tc>
          <w:tcPr>
            <w:tcW w:type="dxa" w:w="4200"/>
            <w:tcMar>
              <w:top w:w="80" w:type="dxa"/>
              <w:bottom w:w="80" w:type="dxa"/>
              <w:start w:w="120" w:type="dxa"/>
              <w:end w:w="120" w:type="dxa"/>
            </w:tcMar>
            <w:vAlign w:val="center"/>
          </w:tcPr>
          <w:p>
            <w:pPr>
              <w:pStyle w:val="TableBody"/>
            </w:pPr>
            <w:r>
              <w:rPr>
                <w:rFonts w:ascii="Noto Sans CJK SC" w:hAnsi="Noto Sans CJK SC" w:eastAsia="Noto Sans CJK SC"/>
              </w:rPr>
              <w:t>[如适用]</w:t>
            </w:r>
          </w:p>
        </w:tc>
      </w:tr>
      <w:tr>
        <w:trPr>
          <w:cantSplit/>
        </w:trPr>
        <w:tc>
          <w:tcPr>
            <w:tcW w:type="dxa" w:w="900"/>
            <w:tcMar>
              <w:top w:w="80" w:type="dxa"/>
              <w:bottom w:w="80" w:type="dxa"/>
              <w:start w:w="120" w:type="dxa"/>
              <w:end w:w="120" w:type="dxa"/>
            </w:tcMar>
            <w:vAlign w:val="center"/>
          </w:tcPr>
          <w:p>
            <w:pPr>
              <w:pStyle w:val="TableBody"/>
            </w:pPr>
            <w:r>
              <w:t>5</w:t>
            </w:r>
          </w:p>
        </w:tc>
        <w:tc>
          <w:tcPr>
            <w:tcW w:type="dxa" w:w="4260"/>
            <w:tcMar>
              <w:top w:w="80" w:type="dxa"/>
              <w:bottom w:w="80" w:type="dxa"/>
              <w:start w:w="120" w:type="dxa"/>
              <w:end w:w="120" w:type="dxa"/>
            </w:tcMar>
            <w:vAlign w:val="center"/>
          </w:tcPr>
          <w:p>
            <w:pPr>
              <w:pStyle w:val="TableBody"/>
            </w:pPr>
            <w:r>
              <w:rPr>
                <w:rFonts w:ascii="Noto Sans CJK SC" w:hAnsi="Noto Sans CJK SC" w:eastAsia="Noto Sans CJK SC"/>
              </w:rPr>
              <w:t>[如适用]</w:t>
            </w:r>
          </w:p>
        </w:tc>
        <w:tc>
          <w:tcPr>
            <w:tcW w:type="dxa" w:w="4200"/>
            <w:tcMar>
              <w:top w:w="80" w:type="dxa"/>
              <w:bottom w:w="80" w:type="dxa"/>
              <w:start w:w="120" w:type="dxa"/>
              <w:end w:w="120" w:type="dxa"/>
            </w:tcMar>
            <w:vAlign w:val="center"/>
          </w:tcPr>
          <w:p>
            <w:pPr>
              <w:pStyle w:val="TableBody"/>
            </w:pPr>
            <w:r>
              <w:rPr>
                <w:rFonts w:ascii="Noto Sans CJK SC" w:hAnsi="Noto Sans CJK SC" w:eastAsia="Noto Sans CJK SC"/>
              </w:rPr>
              <w:t>[如适用]</w:t>
            </w:r>
          </w:p>
        </w:tc>
      </w:tr>
    </w:tbl>
    <w:p>
      <w:pPr>
        <w:pStyle w:val="Small"/>
        <w:spacing w:after="20"/>
      </w:pPr>
    </w:p>
    <w:p>
      <w:pPr>
        <w:pStyle w:val="Heading2"/>
      </w:pPr>
      <w:r>
        <w:rPr>
          <w:rFonts w:ascii="Noto Sans CJK SC" w:hAnsi="Noto Sans CJK SC" w:eastAsia="Noto Sans CJK SC"/>
        </w:rPr>
        <w:t>执行摘要</w:t>
      </w:r>
    </w:p>
    <w:p>
      <w:pPr>
        <w:jc w:val="both"/>
      </w:pPr>
      <w:r>
        <w:rPr>
          <w:rFonts w:ascii="Noto Sans CJK SC" w:hAnsi="Noto Sans CJK SC" w:eastAsia="Noto Sans CJK SC"/>
        </w:rPr>
        <w:t>TenderCheck 用于帮助承包商投标团队将招标要求与本方投标草稿进行比较。系统将提取义务条款、检索支持性段落、检查明确约束，并生成可复核的合规矩阵，其中包含文件与页码引用。人工审核人员将在采取行动前确认系统结论。</w:t>
      </w:r>
    </w:p>
    <w:p>
      <w:pPr>
        <w:jc w:val="both"/>
      </w:pPr>
      <w:r>
        <w:rPr>
          <w:rFonts w:ascii="Noto Sans CJK SC" w:hAnsi="Noto Sans CJK SC" w:eastAsia="Noto Sans CJK SC"/>
        </w:rPr>
        <w:t>拟议系统将整合监督式条款分类、自然语言检索与交互，以及可审计的业务规则。可选的对抗困难样本实验将检验专项模型能否更可靠地识别要求与响应之间的细微冲突。从零训练生成对抗网络（GAN）或大语言模型不属于核心交付内容。</w:t>
      </w:r>
    </w:p>
    <w:p>
      <w:pPr>
        <w:pStyle w:val="Small"/>
      </w:pPr>
      <w:r>
        <w:rPr>
          <w:rFonts w:ascii="Noto Sans CJK SC" w:hAnsi="Noto Sans CJK SC" w:eastAsia="Noto Sans CJK SC"/>
        </w:rPr>
        <w:t>当前状态：提案阶段设计。数据集获取、行业参与和系统性能尚未验证。下文所有数量与验收目标均为规划假设，不是已获得的实验结果。</w:t>
      </w:r>
    </w:p>
    <w:p>
      <w:pPr>
        <w:pStyle w:val="Heading1"/>
        <w:pageBreakBefore/>
        <w:spacing w:before="0"/>
      </w:pPr>
      <w:r>
        <w:rPr>
          <w:rFonts w:ascii="Noto Sans CJK SC" w:hAnsi="Noto Sans CJK SC" w:eastAsia="Noto Sans CJK SC"/>
        </w:rPr>
        <w:t>1. 背景与商业机会</w:t>
      </w:r>
    </w:p>
    <w:p>
      <w:pPr>
        <w:jc w:val="both"/>
      </w:pPr>
      <w:r>
        <w:rPr>
          <w:rFonts w:ascii="Noto Sans CJK SC" w:hAnsi="Noto Sans CJK SC" w:eastAsia="Noto Sans CJK SC"/>
        </w:rPr>
        <w:t>目标客户是正在编制投标文件的土木或水利基础设施承包商。投标协调人员必须将投标须知、技术规范、进度计划、附件及修订内容与承包商的响应逐项核对。当前的问题假设是：人工交叉核查耗费大量审核时间，并可能使遗漏或相互矛盾的承诺未被发现。项目将通过访谈和计时审查实验检验这一假设。</w:t>
      </w:r>
    </w:p>
    <w:p>
      <w:pPr>
        <w:pStyle w:val="Heading2"/>
      </w:pPr>
      <w:r>
        <w:rPr>
          <w:rFonts w:ascii="Noto Sans CJK SC" w:hAnsi="Noto Sans CJK SC" w:eastAsia="Noto Sans CJK SC"/>
        </w:rPr>
        <w:t>用户、价值与商业验证</w:t>
      </w:r>
    </w:p>
    <w:p>
      <w:pPr>
        <w:jc w:val="both"/>
      </w:pPr>
      <w:r>
        <w:rPr>
          <w:rFonts w:ascii="Noto Sans CJK SC" w:hAnsi="Noto Sans CJK SC" w:eastAsia="Noto Sans CJK SC"/>
        </w:rPr>
        <w:t>主要用户为投标协调员和投标工程师，潜在采购决策者为估算经理或投标负责人。产品用于支持提交前审查，不对竞争供应商进行排名，也不作出采购授标决定。</w:t>
      </w:r>
    </w:p>
    <w:p>
      <w:pPr>
        <w:jc w:val="both"/>
      </w:pPr>
      <w:r>
        <w:rPr>
          <w:rFonts w:ascii="Noto Sans CJK SC" w:hAnsi="Noto Sans CJK SC" w:eastAsia="Noto Sans CJK SC"/>
        </w:rPr>
        <w:t>初步商业模式假设为按项目收费的审查服务，或面向经常投标企业的订阅服务。有效的产品应在不增加漏检的前提下降低审查工作量。计划访谈3至5名潜在用户，并开展一个小规模监督试点；目前尚无已确认客户、付费意愿数据或收入。</w:t>
      </w:r>
    </w:p>
    <w:p>
      <w:pPr>
        <w:pStyle w:val="Callout"/>
        <w:shd w:fill="F4F6F9"/>
      </w:pPr>
      <w:r>
        <w:rPr>
          <w:rFonts w:ascii="Noto Sans CJK SC" w:hAnsi="Noto Sans CJK SC" w:eastAsia="Noto Sans CJK SC"/>
        </w:rPr>
        <w:t>试点价值指标：净节省时间＝人工审查时间－辅助审查时间，其中辅助审查时间包含核对系统警报所用时间。随后可结合客户实际人工成本与系统实际费用估算经济价值。</w:t>
      </w:r>
    </w:p>
    <w:p>
      <w:pPr>
        <w:pStyle w:val="Heading2"/>
      </w:pPr>
      <w:r>
        <w:rPr>
          <w:rFonts w:ascii="Noto Sans CJK SC" w:hAnsi="Noto Sans CJK SC" w:eastAsia="Noto Sans CJK SC"/>
        </w:rPr>
        <w:t>市场与研究背景</w:t>
      </w:r>
    </w:p>
    <w:p>
      <w:pPr>
        <w:jc w:val="both"/>
      </w:pPr>
      <w:r>
        <w:rPr>
          <w:rFonts w:ascii="Noto Sans CJK SC" w:hAnsi="Noto Sans CJK SC" w:eastAsia="Noto Sans CJK SC"/>
          <w:b/>
        </w:rPr>
        <w:t>现有产品。</w:t>
      </w:r>
      <w:r>
        <w:rPr>
          <w:rFonts w:ascii="Noto Sans CJK SC" w:hAnsi="Noto Sans CJK SC" w:eastAsia="Noto Sans CJK SC"/>
        </w:rPr>
        <w:t>Document Crunch 提供面向建筑工程投标的人工智能支持[3]；Provision 提供带证据引用的合同与技术规范风险审查服务[4]。这些供应商说明表明市场上存在可比产品，但不能证明其性能已经过独立验证，也不能证明客户愿意为本项目付费。</w:t>
      </w:r>
    </w:p>
    <w:p>
      <w:pPr>
        <w:jc w:val="both"/>
      </w:pPr>
      <w:r>
        <w:rPr>
          <w:rFonts w:ascii="Noto Sans CJK SC" w:hAnsi="Noto Sans CJK SC" w:eastAsia="Noto Sans CJK SC"/>
          <w:b/>
        </w:rPr>
        <w:t>研究基础。</w:t>
      </w:r>
      <w:r>
        <w:rPr>
          <w:rFonts w:ascii="Noto Sans CJK SC" w:hAnsi="Noto Sans CJK SC" w:eastAsia="Noto Sans CJK SC"/>
        </w:rPr>
        <w:t>知识增强型施工合同审查研究为领域知识与语言模型的结合提供了依据[5]。ContractNLI 展示了带支持证据片段的合同推理任务[6]。这些研究均不能证明本项目拟开发的工程助手已经有效。</w:t>
      </w:r>
    </w:p>
    <w:p>
      <w:pPr>
        <w:jc w:val="both"/>
      </w:pPr>
      <w:r>
        <w:rPr>
          <w:rFonts w:ascii="Noto Sans CJK SC" w:hAnsi="Noto Sans CJK SC" w:eastAsia="Noto Sans CJK SC"/>
          <w:b/>
        </w:rPr>
        <w:t>预期贡献。</w:t>
      </w:r>
      <w:r>
        <w:rPr>
          <w:rFonts w:ascii="Noto Sans CJK SC" w:hAnsi="Noto Sans CJK SC" w:eastAsia="Noto Sans CJK SC"/>
        </w:rPr>
        <w:t>本项目将展示一个范围明确且可复现的“要求—证据”工作流，并显式处理时间口径、计量单位、证据缺失和人工升级。项目贡献在于集成原型与量化评估，并不声称商业产品缺少这些功能。</w:t>
      </w:r>
    </w:p>
    <w:p>
      <w:pPr>
        <w:pStyle w:val="Heading1"/>
        <w:pageBreakBefore/>
        <w:spacing w:before="0"/>
      </w:pPr>
      <w:r>
        <w:rPr>
          <w:rFonts w:ascii="Noto Sans CJK SC" w:hAnsi="Noto Sans CJK SC" w:eastAsia="Noto Sans CJK SC"/>
        </w:rPr>
        <w:t>2. 项目目标、范围与用户流程</w:t>
      </w:r>
    </w:p>
    <w:p>
      <w:pPr>
        <w:jc w:val="both"/>
      </w:pPr>
      <w:r>
        <w:rPr>
          <w:rFonts w:ascii="Noto Sans CJK SC" w:hAnsi="Noto Sans CJK SC" w:eastAsia="Noto Sans CJK SC"/>
        </w:rPr>
        <w:t>项目目标是评估一个可运行的辅助系统，用于比较某一承包商的投标草稿与选定招标文件包。初始处理对象为英文文件，中文支持可作为后续扩展。</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3000"/>
        <w:gridCol w:w="6360"/>
      </w:tblGrid>
      <w:tr>
        <w:trPr>
          <w:cantSplit/>
          <w:tblHeader/>
        </w:trPr>
        <w:tc>
          <w:tcPr>
            <w:tcW w:type="dxa" w:w="3000"/>
            <w:tcMar>
              <w:top w:w="80" w:type="dxa"/>
              <w:bottom w:w="80" w:type="dxa"/>
              <w:start w:w="120" w:type="dxa"/>
              <w:end w:w="120" w:type="dxa"/>
            </w:tcMar>
            <w:vAlign w:val="center"/>
            <w:shd w:fill="F4F6F9"/>
          </w:tcPr>
          <w:p>
            <w:pPr>
              <w:pStyle w:val="TableHead"/>
            </w:pPr>
            <w:r>
              <w:rPr>
                <w:rFonts w:ascii="Noto Sans CJK SC" w:hAnsi="Noto Sans CJK SC" w:eastAsia="Noto Sans CJK SC"/>
              </w:rPr>
              <w:t>核心目标</w:t>
            </w:r>
          </w:p>
        </w:tc>
        <w:tc>
          <w:tcPr>
            <w:tcW w:type="dxa" w:w="6360"/>
            <w:tcMar>
              <w:top w:w="80" w:type="dxa"/>
              <w:bottom w:w="80" w:type="dxa"/>
              <w:start w:w="120" w:type="dxa"/>
              <w:end w:w="120" w:type="dxa"/>
            </w:tcMar>
            <w:vAlign w:val="center"/>
            <w:shd w:fill="F4F6F9"/>
          </w:tcPr>
          <w:p>
            <w:pPr>
              <w:pStyle w:val="TableHead"/>
            </w:pPr>
            <w:r>
              <w:rPr>
                <w:rFonts w:ascii="Noto Sans CJK SC" w:hAnsi="Noto Sans CJK SC" w:eastAsia="Noto Sans CJK SC"/>
              </w:rPr>
              <w:t>计划输出</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识别要求</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条款类别、义务及准确来源位置</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查找投标证据</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按相关性排序的段落及文件、页码和章节引用</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检查明确约束</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规则结果、比较值、依据与解释</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支持可问责审查</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合规矩阵、审核决定与变更日志</w:t>
            </w:r>
          </w:p>
        </w:tc>
      </w:tr>
    </w:tbl>
    <w:p>
      <w:pPr>
        <w:pStyle w:val="Small"/>
        <w:spacing w:after="20"/>
      </w:pPr>
    </w:p>
    <w:p>
      <w:pPr>
        <w:pStyle w:val="Heading2"/>
      </w:pPr>
      <w:r>
        <w:rPr>
          <w:rFonts w:ascii="Noto Sans CJK SC" w:hAnsi="Noto Sans CJK SC" w:eastAsia="Noto Sans CJK SC"/>
        </w:rPr>
        <w:t>最小可行产品范围</w:t>
      </w:r>
    </w:p>
    <w:p>
      <w:pPr>
        <w:jc w:val="both"/>
      </w:pPr>
      <w:r>
        <w:rPr>
          <w:rFonts w:ascii="Noto Sans CJK SC" w:hAnsi="Noto Sans CJK SC" w:eastAsia="Noto Sans CJK SC"/>
        </w:rPr>
        <w:t>核心检查范围包括必交材料、截止日期与工期承诺，以及单位和适用条件可比较的明确技术参数。系统检查资格文件是否存在，但不负责鉴别证书真伪，也不连接外部实时名录核验资格。</w:t>
      </w:r>
    </w:p>
    <w:p>
      <w:pPr>
        <w:jc w:val="both"/>
      </w:pPr>
      <w:r>
        <w:rPr>
          <w:rFonts w:ascii="Noto Sans CJK SC" w:hAnsi="Noto Sans CJK SC" w:eastAsia="Noto Sans CJK SC"/>
        </w:rPr>
        <w:t>输入为可搜索的招标文件、补遗及投标文件PDF，初期每个文件包不超过100页。CAD/BIM、图纸、手写内容、复杂扫描件、完整设计校核和一般性法律合规不在范围内。OCR为可选功能，无法读取的页面必须报告。</w:t>
      </w:r>
    </w:p>
    <w:p>
      <w:pPr>
        <w:pStyle w:val="Heading2"/>
      </w:pPr>
      <w:r>
        <w:rPr>
          <w:rFonts w:ascii="Noto Sans CJK SC" w:hAnsi="Noto Sans CJK SC" w:eastAsia="Noto Sans CJK SC"/>
        </w:rPr>
        <w:t>审查流程与判定含义</w:t>
      </w:r>
    </w:p>
    <w:p>
      <w:pPr>
        <w:jc w:val="both"/>
      </w:pPr>
      <w:r>
        <w:rPr>
          <w:rFonts w:ascii="Noto Sans CJK SC" w:hAnsi="Noto Sans CJK SC" w:eastAsia="Noto Sans CJK SC"/>
        </w:rPr>
        <w:t>用户选择适用文件版本并上传文件包，检查系统提取的清单，运行比较并查看被标记的证据。所有修正和确认均写入日志，随后由用户导出经审阅的矩阵。系统不会自动提交投标文件。</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2300"/>
        <w:gridCol w:w="7060"/>
      </w:tblGrid>
      <w:tr>
        <w:trPr>
          <w:cantSplit/>
          <w:tblHeader/>
        </w:trPr>
        <w:tc>
          <w:tcPr>
            <w:tcW w:type="dxa" w:w="2300"/>
            <w:tcMar>
              <w:top w:w="80" w:type="dxa"/>
              <w:bottom w:w="80" w:type="dxa"/>
              <w:start w:w="120" w:type="dxa"/>
              <w:end w:w="120" w:type="dxa"/>
            </w:tcMar>
            <w:vAlign w:val="center"/>
            <w:shd w:fill="F4F6F9"/>
          </w:tcPr>
          <w:p>
            <w:pPr>
              <w:pStyle w:val="TableHead"/>
            </w:pPr>
            <w:r>
              <w:rPr>
                <w:rFonts w:ascii="Noto Sans CJK SC" w:hAnsi="Noto Sans CJK SC" w:eastAsia="Noto Sans CJK SC"/>
              </w:rPr>
              <w:t>状态</w:t>
            </w:r>
          </w:p>
        </w:tc>
        <w:tc>
          <w:tcPr>
            <w:tcW w:type="dxa" w:w="7060"/>
            <w:tcMar>
              <w:top w:w="80" w:type="dxa"/>
              <w:bottom w:w="80" w:type="dxa"/>
              <w:start w:w="120" w:type="dxa"/>
              <w:end w:w="120" w:type="dxa"/>
            </w:tcMar>
            <w:vAlign w:val="center"/>
            <w:shd w:fill="F4F6F9"/>
          </w:tcPr>
          <w:p>
            <w:pPr>
              <w:pStyle w:val="TableHead"/>
            </w:pPr>
            <w:r>
              <w:rPr>
                <w:rFonts w:ascii="Noto Sans CJK SC" w:hAnsi="Noto Sans CJK SC" w:eastAsia="Noto Sans CJK SC"/>
              </w:rPr>
              <w:t>实际含义</w:t>
            </w:r>
          </w:p>
        </w:tc>
      </w:tr>
      <w:tr>
        <w:trPr>
          <w:cantSplit/>
        </w:trPr>
        <w:tc>
          <w:tcPr>
            <w:tcW w:type="dxa" w:w="2300"/>
            <w:tcMar>
              <w:top w:w="80" w:type="dxa"/>
              <w:bottom w:w="80" w:type="dxa"/>
              <w:start w:w="120" w:type="dxa"/>
              <w:end w:w="120" w:type="dxa"/>
            </w:tcMar>
            <w:vAlign w:val="center"/>
          </w:tcPr>
          <w:p>
            <w:pPr>
              <w:pStyle w:val="TableBody"/>
            </w:pPr>
            <w:r>
              <w:rPr>
                <w:rFonts w:ascii="Noto Sans CJK SC" w:hAnsi="Noto Sans CJK SC" w:eastAsia="Noto Sans CJK SC"/>
              </w:rPr>
              <w:t>符合</w:t>
            </w:r>
          </w:p>
        </w:tc>
        <w:tc>
          <w:tcPr>
            <w:tcW w:type="dxa" w:w="7060"/>
            <w:tcMar>
              <w:top w:w="80" w:type="dxa"/>
              <w:bottom w:w="80" w:type="dxa"/>
              <w:start w:w="120" w:type="dxa"/>
              <w:end w:w="120" w:type="dxa"/>
            </w:tcMar>
            <w:vAlign w:val="center"/>
          </w:tcPr>
          <w:p>
            <w:pPr>
              <w:pStyle w:val="TableBody"/>
            </w:pPr>
            <w:r>
              <w:rPr>
                <w:rFonts w:ascii="Noto Sans CJK SC" w:hAnsi="Noto Sans CJK SC" w:eastAsia="Noto Sans CJK SC"/>
              </w:rPr>
              <w:t>找到的证据在规定范围内支持该项要求。</w:t>
            </w:r>
          </w:p>
        </w:tc>
      </w:tr>
      <w:tr>
        <w:trPr>
          <w:cantSplit/>
        </w:trPr>
        <w:tc>
          <w:tcPr>
            <w:tcW w:type="dxa" w:w="2300"/>
            <w:tcMar>
              <w:top w:w="80" w:type="dxa"/>
              <w:bottom w:w="80" w:type="dxa"/>
              <w:start w:w="120" w:type="dxa"/>
              <w:end w:w="120" w:type="dxa"/>
            </w:tcMar>
            <w:vAlign w:val="center"/>
          </w:tcPr>
          <w:p>
            <w:pPr>
              <w:pStyle w:val="TableBody"/>
            </w:pPr>
            <w:r>
              <w:rPr>
                <w:rFonts w:ascii="Noto Sans CJK SC" w:hAnsi="Noto Sans CJK SC" w:eastAsia="Noto Sans CJK SC"/>
              </w:rPr>
              <w:t>冲突</w:t>
            </w:r>
          </w:p>
        </w:tc>
        <w:tc>
          <w:tcPr>
            <w:tcW w:type="dxa" w:w="7060"/>
            <w:tcMar>
              <w:top w:w="80" w:type="dxa"/>
              <w:bottom w:w="80" w:type="dxa"/>
              <w:start w:w="120" w:type="dxa"/>
              <w:end w:w="120" w:type="dxa"/>
            </w:tcMar>
            <w:vAlign w:val="center"/>
          </w:tcPr>
          <w:p>
            <w:pPr>
              <w:pStyle w:val="TableBody"/>
            </w:pPr>
            <w:r>
              <w:rPr>
                <w:rFonts w:ascii="Noto Sans CJK SC" w:hAnsi="Noto Sans CJK SC" w:eastAsia="Noto Sans CJK SC"/>
              </w:rPr>
              <w:t>找到的证据与要求明确冲突。</w:t>
            </w:r>
          </w:p>
        </w:tc>
      </w:tr>
      <w:tr>
        <w:trPr>
          <w:cantSplit/>
        </w:trPr>
        <w:tc>
          <w:tcPr>
            <w:tcW w:type="dxa" w:w="2300"/>
            <w:tcMar>
              <w:top w:w="80" w:type="dxa"/>
              <w:bottom w:w="80" w:type="dxa"/>
              <w:start w:w="120" w:type="dxa"/>
              <w:end w:w="120" w:type="dxa"/>
            </w:tcMar>
            <w:vAlign w:val="center"/>
          </w:tcPr>
          <w:p>
            <w:pPr>
              <w:pStyle w:val="TableBody"/>
            </w:pPr>
            <w:r>
              <w:rPr>
                <w:rFonts w:ascii="Noto Sans CJK SC" w:hAnsi="Noto Sans CJK SC" w:eastAsia="Noto Sans CJK SC"/>
              </w:rPr>
              <w:t>未找到证据</w:t>
            </w:r>
          </w:p>
        </w:tc>
        <w:tc>
          <w:tcPr>
            <w:tcW w:type="dxa" w:w="7060"/>
            <w:tcMar>
              <w:top w:w="80" w:type="dxa"/>
              <w:bottom w:w="80" w:type="dxa"/>
              <w:start w:w="120" w:type="dxa"/>
              <w:end w:w="120" w:type="dxa"/>
            </w:tcMar>
            <w:vAlign w:val="center"/>
          </w:tcPr>
          <w:p>
            <w:pPr>
              <w:pStyle w:val="TableBody"/>
            </w:pPr>
            <w:r>
              <w:rPr>
                <w:rFonts w:ascii="Noto Sans CJK SC" w:hAnsi="Noto Sans CJK SC" w:eastAsia="Noto Sans CJK SC"/>
              </w:rPr>
              <w:t>在已上传材料中未检索到充分支持证据。</w:t>
            </w:r>
          </w:p>
        </w:tc>
      </w:tr>
      <w:tr>
        <w:trPr>
          <w:cantSplit/>
        </w:trPr>
        <w:tc>
          <w:tcPr>
            <w:tcW w:type="dxa" w:w="2300"/>
            <w:tcMar>
              <w:top w:w="80" w:type="dxa"/>
              <w:bottom w:w="80" w:type="dxa"/>
              <w:start w:w="120" w:type="dxa"/>
              <w:end w:w="120" w:type="dxa"/>
            </w:tcMar>
            <w:vAlign w:val="center"/>
          </w:tcPr>
          <w:p>
            <w:pPr>
              <w:pStyle w:val="TableBody"/>
            </w:pPr>
            <w:r>
              <w:rPr>
                <w:rFonts w:ascii="Noto Sans CJK SC" w:hAnsi="Noto Sans CJK SC" w:eastAsia="Noto Sans CJK SC"/>
              </w:rPr>
              <w:t>需要人工审核</w:t>
            </w:r>
          </w:p>
        </w:tc>
        <w:tc>
          <w:tcPr>
            <w:tcW w:type="dxa" w:w="7060"/>
            <w:tcMar>
              <w:top w:w="80" w:type="dxa"/>
              <w:bottom w:w="80" w:type="dxa"/>
              <w:start w:w="120" w:type="dxa"/>
              <w:end w:w="120" w:type="dxa"/>
            </w:tcMar>
            <w:vAlign w:val="center"/>
          </w:tcPr>
          <w:p>
            <w:pPr>
              <w:pStyle w:val="TableBody"/>
            </w:pPr>
            <w:r>
              <w:rPr>
                <w:rFonts w:ascii="Noto Sans CJK SC" w:hAnsi="Noto Sans CJK SC" w:eastAsia="Noto Sans CJK SC"/>
              </w:rPr>
              <w:t>歧义、单位不兼容、段落冲突或解析限制导致系统无法可靠判断。</w:t>
            </w:r>
          </w:p>
        </w:tc>
      </w:tr>
    </w:tbl>
    <w:p>
      <w:pPr>
        <w:pStyle w:val="Small"/>
        <w:spacing w:after="20"/>
      </w:pPr>
    </w:p>
    <w:p>
      <w:pPr>
        <w:pStyle w:val="Small"/>
      </w:pPr>
      <w:r>
        <w:rPr>
          <w:rFonts w:ascii="Noto Sans CJK SC" w:hAnsi="Noto Sans CJK SC" w:eastAsia="Noto Sans CJK SC"/>
        </w:rPr>
        <w:t>检索失败不能证明必需材料确实缺失。所有状态仅针对已提供文件和已陈述要求，不构成法律认证，也不能保证投标被接受。</w:t>
      </w:r>
    </w:p>
    <w:p>
      <w:pPr>
        <w:pStyle w:val="Heading1"/>
        <w:pageBreakBefore/>
        <w:spacing w:before="0"/>
      </w:pPr>
      <w:r>
        <w:rPr>
          <w:rFonts w:ascii="Noto Sans CJK SC" w:hAnsi="Noto Sans CJK SC" w:eastAsia="Noto Sans CJK SC"/>
        </w:rPr>
        <w:t>3. 技术方案与课程要求对应</w:t>
      </w:r>
    </w:p>
    <w:p>
      <w:pPr>
        <w:jc w:val="both"/>
      </w:pPr>
      <w:r>
        <w:rPr>
          <w:rFonts w:ascii="Noto Sans CJK SC" w:hAnsi="Noto Sans CJK SC" w:eastAsia="Noto Sans CJK SC"/>
        </w:rPr>
        <w:t>课程说明要求开发、集成并演示四类技术中的至少三类[1，第6页]。下表为拟议对应关系，应在提案审查阶段与授课教师讨论确认。本项目不将资源优化列为第四类技术。</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2450"/>
        <w:gridCol w:w="3550"/>
        <w:gridCol w:w="3360"/>
      </w:tblGrid>
      <w:tr>
        <w:trPr>
          <w:cantSplit/>
          <w:tblHeader/>
        </w:trPr>
        <w:tc>
          <w:tcPr>
            <w:tcW w:type="dxa" w:w="2450"/>
            <w:tcMar>
              <w:top w:w="80" w:type="dxa"/>
              <w:bottom w:w="80" w:type="dxa"/>
              <w:start w:w="120" w:type="dxa"/>
              <w:end w:w="120" w:type="dxa"/>
            </w:tcMar>
            <w:vAlign w:val="center"/>
            <w:shd w:fill="F4F6F9"/>
          </w:tcPr>
          <w:p>
            <w:pPr>
              <w:pStyle w:val="TableHead"/>
            </w:pPr>
            <w:r>
              <w:rPr>
                <w:rFonts w:ascii="Noto Sans CJK SC" w:hAnsi="Noto Sans CJK SC" w:eastAsia="Noto Sans CJK SC"/>
              </w:rPr>
              <w:t>技术类别</w:t>
            </w:r>
          </w:p>
        </w:tc>
        <w:tc>
          <w:tcPr>
            <w:tcW w:type="dxa" w:w="3550"/>
            <w:tcMar>
              <w:top w:w="80" w:type="dxa"/>
              <w:bottom w:w="80" w:type="dxa"/>
              <w:start w:w="120" w:type="dxa"/>
              <w:end w:w="120" w:type="dxa"/>
            </w:tcMar>
            <w:vAlign w:val="center"/>
            <w:shd w:fill="F4F6F9"/>
          </w:tcPr>
          <w:p>
            <w:pPr>
              <w:pStyle w:val="TableHead"/>
            </w:pPr>
            <w:r>
              <w:rPr>
                <w:rFonts w:ascii="Noto Sans CJK SC" w:hAnsi="Noto Sans CJK SC" w:eastAsia="Noto Sans CJK SC"/>
              </w:rPr>
              <w:t>实现方式</w:t>
            </w:r>
          </w:p>
        </w:tc>
        <w:tc>
          <w:tcPr>
            <w:tcW w:type="dxa" w:w="3360"/>
            <w:tcMar>
              <w:top w:w="80" w:type="dxa"/>
              <w:bottom w:w="80" w:type="dxa"/>
              <w:start w:w="120" w:type="dxa"/>
              <w:end w:w="120" w:type="dxa"/>
            </w:tcMar>
            <w:vAlign w:val="center"/>
            <w:shd w:fill="F4F6F9"/>
          </w:tcPr>
          <w:p>
            <w:pPr>
              <w:pStyle w:val="TableHead"/>
            </w:pPr>
            <w:r>
              <w:rPr>
                <w:rFonts w:ascii="Noto Sans CJK SC" w:hAnsi="Noto Sans CJK SC" w:eastAsia="Noto Sans CJK SC"/>
              </w:rPr>
              <w:t>最终提交中的证明</w:t>
            </w:r>
          </w:p>
        </w:tc>
      </w:tr>
      <w:tr>
        <w:trPr>
          <w:cantSplit/>
        </w:trPr>
        <w:tc>
          <w:tcPr>
            <w:tcW w:type="dxa" w:w="2450"/>
            <w:tcMar>
              <w:top w:w="80" w:type="dxa"/>
              <w:bottom w:w="80" w:type="dxa"/>
              <w:start w:w="120" w:type="dxa"/>
              <w:end w:w="120" w:type="dxa"/>
            </w:tcMar>
            <w:vAlign w:val="center"/>
          </w:tcPr>
          <w:p>
            <w:pPr>
              <w:pStyle w:val="TableBody"/>
            </w:pPr>
            <w:r>
              <w:rPr>
                <w:rFonts w:ascii="Noto Sans CJK SC" w:hAnsi="Noto Sans CJK SC" w:eastAsia="Noto Sans CJK SC"/>
              </w:rPr>
              <w:t>知识发现／数据挖掘</w:t>
            </w:r>
          </w:p>
        </w:tc>
        <w:tc>
          <w:tcPr>
            <w:tcW w:type="dxa" w:w="3550"/>
            <w:tcMar>
              <w:top w:w="80" w:type="dxa"/>
              <w:bottom w:w="80" w:type="dxa"/>
              <w:start w:w="120" w:type="dxa"/>
              <w:end w:w="120" w:type="dxa"/>
            </w:tcMar>
            <w:vAlign w:val="center"/>
          </w:tcPr>
          <w:p>
            <w:pPr>
              <w:pStyle w:val="TableBody"/>
            </w:pPr>
            <w:r>
              <w:rPr>
                <w:rFonts w:ascii="Noto Sans CJK SC" w:hAnsi="Noto Sans CJK SC" w:eastAsia="Noto Sans CJK SC"/>
              </w:rPr>
              <w:t>训练监督式条款分类器，并比较不同文本表示。</w:t>
            </w:r>
          </w:p>
        </w:tc>
        <w:tc>
          <w:tcPr>
            <w:tcW w:type="dxa" w:w="3360"/>
            <w:tcMar>
              <w:top w:w="80" w:type="dxa"/>
              <w:bottom w:w="80" w:type="dxa"/>
              <w:start w:w="120" w:type="dxa"/>
              <w:end w:w="120" w:type="dxa"/>
            </w:tcMar>
            <w:vAlign w:val="center"/>
          </w:tcPr>
          <w:p>
            <w:pPr>
              <w:pStyle w:val="TableBody"/>
            </w:pPr>
            <w:r>
              <w:rPr>
                <w:rFonts w:ascii="Noto Sans CJK SC" w:hAnsi="Noto Sans CJK SC" w:eastAsia="Noto Sans CJK SC"/>
              </w:rPr>
              <w:t>标注语料、可复现训练、留出集指标和错误分析。</w:t>
            </w:r>
          </w:p>
        </w:tc>
      </w:tr>
      <w:tr>
        <w:trPr>
          <w:cantSplit/>
        </w:trPr>
        <w:tc>
          <w:tcPr>
            <w:tcW w:type="dxa" w:w="2450"/>
            <w:tcMar>
              <w:top w:w="80" w:type="dxa"/>
              <w:bottom w:w="80" w:type="dxa"/>
              <w:start w:w="120" w:type="dxa"/>
              <w:end w:w="120" w:type="dxa"/>
            </w:tcMar>
            <w:vAlign w:val="center"/>
          </w:tcPr>
          <w:p>
            <w:pPr>
              <w:pStyle w:val="TableBody"/>
            </w:pPr>
            <w:r>
              <w:rPr>
                <w:rFonts w:ascii="Noto Sans CJK SC" w:hAnsi="Noto Sans CJK SC" w:eastAsia="Noto Sans CJK SC"/>
              </w:rPr>
              <w:t>认知系统</w:t>
            </w:r>
          </w:p>
        </w:tc>
        <w:tc>
          <w:tcPr>
            <w:tcW w:type="dxa" w:w="3550"/>
            <w:tcMar>
              <w:top w:w="80" w:type="dxa"/>
              <w:bottom w:w="80" w:type="dxa"/>
              <w:start w:w="120" w:type="dxa"/>
              <w:end w:w="120" w:type="dxa"/>
            </w:tcMar>
            <w:vAlign w:val="center"/>
          </w:tcPr>
          <w:p>
            <w:pPr>
              <w:pStyle w:val="TableBody"/>
            </w:pPr>
            <w:r>
              <w:rPr>
                <w:rFonts w:ascii="Noto Sans CJK SC" w:hAnsi="Noto Sans CJK SC" w:eastAsia="Noto Sans CJK SC"/>
              </w:rPr>
              <w:t>证据检索、自然语言问答及结构化要求框架。</w:t>
            </w:r>
          </w:p>
        </w:tc>
        <w:tc>
          <w:tcPr>
            <w:tcW w:type="dxa" w:w="3360"/>
            <w:tcMar>
              <w:top w:w="80" w:type="dxa"/>
              <w:bottom w:w="80" w:type="dxa"/>
              <w:start w:w="120" w:type="dxa"/>
              <w:end w:w="120" w:type="dxa"/>
            </w:tcMar>
            <w:vAlign w:val="center"/>
          </w:tcPr>
          <w:p>
            <w:pPr>
              <w:pStyle w:val="TableBody"/>
            </w:pPr>
            <w:r>
              <w:rPr>
                <w:rFonts w:ascii="Noto Sans CJK SC" w:hAnsi="Noto Sans CJK SC" w:eastAsia="Noto Sans CJK SC"/>
              </w:rPr>
              <w:t>带引用的回答、检索评估及交互式案例演示。</w:t>
            </w:r>
          </w:p>
        </w:tc>
      </w:tr>
      <w:tr>
        <w:trPr>
          <w:cantSplit/>
        </w:trPr>
        <w:tc>
          <w:tcPr>
            <w:tcW w:type="dxa" w:w="2450"/>
            <w:tcMar>
              <w:top w:w="80" w:type="dxa"/>
              <w:bottom w:w="80" w:type="dxa"/>
              <w:start w:w="120" w:type="dxa"/>
              <w:end w:w="120" w:type="dxa"/>
            </w:tcMar>
            <w:vAlign w:val="center"/>
          </w:tcPr>
          <w:p>
            <w:pPr>
              <w:pStyle w:val="TableBody"/>
            </w:pPr>
            <w:r>
              <w:rPr>
                <w:rFonts w:ascii="Noto Sans CJK SC" w:hAnsi="Noto Sans CJK SC" w:eastAsia="Noto Sans CJK SC"/>
              </w:rPr>
              <w:t>决策自动化</w:t>
            </w:r>
          </w:p>
        </w:tc>
        <w:tc>
          <w:tcPr>
            <w:tcW w:type="dxa" w:w="3550"/>
            <w:tcMar>
              <w:top w:w="80" w:type="dxa"/>
              <w:bottom w:w="80" w:type="dxa"/>
              <w:start w:w="120" w:type="dxa"/>
              <w:end w:w="120" w:type="dxa"/>
            </w:tcMar>
            <w:vAlign w:val="center"/>
          </w:tcPr>
          <w:p>
            <w:pPr>
              <w:pStyle w:val="TableBody"/>
            </w:pPr>
            <w:r>
              <w:rPr>
                <w:rFonts w:ascii="Noto Sans CJK SC" w:hAnsi="Noto Sans CJK SC" w:eastAsia="Noto Sans CJK SC"/>
              </w:rPr>
              <w:t>针对抽取字段的版本化业务规则及明确的升级逻辑。</w:t>
            </w:r>
          </w:p>
        </w:tc>
        <w:tc>
          <w:tcPr>
            <w:tcW w:type="dxa" w:w="3360"/>
            <w:tcMar>
              <w:top w:w="80" w:type="dxa"/>
              <w:bottom w:w="80" w:type="dxa"/>
              <w:start w:w="120" w:type="dxa"/>
              <w:end w:w="120" w:type="dxa"/>
            </w:tcMar>
            <w:vAlign w:val="center"/>
          </w:tcPr>
          <w:p>
            <w:pPr>
              <w:pStyle w:val="TableBody"/>
            </w:pPr>
            <w:r>
              <w:rPr>
                <w:rFonts w:ascii="Noto Sans CJK SC" w:hAnsi="Noto Sans CJK SC" w:eastAsia="Noto Sans CJK SC"/>
              </w:rPr>
              <w:t>规则目录、推理记录及边界案例测试。</w:t>
            </w:r>
          </w:p>
        </w:tc>
      </w:tr>
    </w:tbl>
    <w:p>
      <w:pPr>
        <w:pStyle w:val="Small"/>
        <w:spacing w:after="20"/>
      </w:pPr>
    </w:p>
    <w:p>
      <w:pPr>
        <w:pStyle w:val="TableCitation"/>
      </w:pPr>
      <w:r>
        <w:rPr>
          <w:rFonts w:ascii="Noto Sans CJK SC" w:hAnsi="Noto Sans CJK SC" w:eastAsia="Noto Sans CJK SC"/>
        </w:rPr>
        <w:t>最终报告将按课程说明要求，把实际系统功能对应到MR、RS和CGS的知识与练习[1，第9页]。仅提供架构图不能视为完成技术集成演示。</w:t>
      </w:r>
    </w:p>
    <w:p>
      <w:pPr>
        <w:pStyle w:val="Heading2"/>
      </w:pPr>
      <w:r>
        <w:rPr>
          <w:rFonts w:ascii="Noto Sans CJK SC" w:hAnsi="Noto Sans CJK SC" w:eastAsia="Noto Sans CJK SC"/>
        </w:rPr>
        <w:t>模型与算法</w:t>
      </w:r>
    </w:p>
    <w:p>
      <w:pPr>
        <w:jc w:val="both"/>
      </w:pPr>
      <w:r>
        <w:rPr>
          <w:rFonts w:ascii="Noto Sans CJK SC" w:hAnsi="Noto Sans CJK SC" w:eastAsia="Noto Sans CJK SC"/>
          <w:b/>
        </w:rPr>
        <w:t>训练轻量级分类器。</w:t>
      </w:r>
      <w:r>
        <w:rPr>
          <w:rFonts w:ascii="Noto Sans CJK SC" w:hAnsi="Noto Sans CJK SC" w:eastAsia="Noto Sans CJK SC"/>
        </w:rPr>
        <w:t>基线模型采用TF-IDF与逻辑回归；在相同数据上，再比较冻结的预训练句子编码器与线性分类器。拟设置七个主标签：提交材料、资格、进度、技术、商务、健康安全与环境（HSE）及其他。对于混合条款，将尽可能拆分；标注指南规定每个标注单元仅有一个主标签。</w:t>
      </w:r>
    </w:p>
    <w:p>
      <w:pPr>
        <w:jc w:val="both"/>
      </w:pPr>
      <w:r>
        <w:rPr>
          <w:rFonts w:ascii="Noto Sans CJK SC" w:hAnsi="Noto Sans CJK SC" w:eastAsia="Noto Sans CJK SC"/>
          <w:b/>
        </w:rPr>
        <w:t>复用预训练语言模型。</w:t>
      </w:r>
      <w:r>
        <w:rPr>
          <w:rFonts w:ascii="Noto Sans CJK SC" w:hAnsi="Noto Sans CJK SC" w:eastAsia="Noto Sans CJK SC"/>
        </w:rPr>
        <w:t>使用现有指令遵循模型完成受结构约束的信息抽取和基于证据的解释。模型可通过获准API或本地推理调用，不计划从零训练大语言模型。检索模块在推理阶段向模型提供文件；建立文件索引不属于监督式模型训练。</w:t>
      </w:r>
    </w:p>
    <w:p>
      <w:pPr>
        <w:jc w:val="both"/>
      </w:pPr>
      <w:r>
        <w:rPr>
          <w:rFonts w:ascii="Noto Sans CJK SC" w:hAnsi="Noto Sans CJK SC" w:eastAsia="Noto Sans CJK SC"/>
          <w:b/>
        </w:rPr>
        <w:t>使用规则执行明确比较。</w:t>
      </w:r>
      <w:r>
        <w:rPr>
          <w:rFonts w:ascii="Noto Sans CJK SC" w:hAnsi="Noto Sans CJK SC" w:eastAsia="Noto Sans CJK SC"/>
        </w:rPr>
        <w:t>初期使用包含10至15条版本化规则的Python引擎；只有在确认数值含义、单位、适用条件和来源版本后，系统才进行比较。仅能依靠语义判断或仍未解决的情况将转交人工审核。</w:t>
      </w:r>
    </w:p>
    <w:p>
      <w:pPr>
        <w:jc w:val="both"/>
      </w:pPr>
      <w:r>
        <w:rPr>
          <w:rFonts w:ascii="Noto Sans CJK SC" w:hAnsi="Noto Sans CJK SC" w:eastAsia="Noto Sans CJK SC"/>
          <w:b/>
        </w:rPr>
        <w:t>保持扩展实验独立。</w:t>
      </w:r>
      <w:r>
        <w:rPr>
          <w:rFonts w:ascii="Noto Sans CJK SC" w:hAnsi="Noto Sans CJK SC" w:eastAsia="Noto Sans CJK SC"/>
        </w:rPr>
        <w:t>对抗困难样本训练是针对“要求—响应”文本对的可选实验。该实验应提高经测量的性能或揭示有价值的失败模式；核心助手的运行不依赖此实验。</w:t>
      </w:r>
    </w:p>
    <w:p>
      <w:pPr>
        <w:pStyle w:val="Heading1"/>
        <w:pageBreakBefore/>
        <w:spacing w:before="0"/>
      </w:pPr>
      <w:r>
        <w:rPr>
          <w:rFonts w:ascii="Noto Sans CJK SC" w:hAnsi="Noto Sans CJK SC" w:eastAsia="Noto Sans CJK SC"/>
        </w:rPr>
        <w:t>4. 拟议系统架构</w:t>
      </w:r>
    </w:p>
    <w:p>
      <w:pPr>
        <w:jc w:val="both"/>
      </w:pPr>
      <w:r>
        <w:rPr>
          <w:rFonts w:ascii="Noto Sans CJK SC" w:hAnsi="Noto Sans CJK SC" w:eastAsia="Noto Sans CJK SC"/>
        </w:rPr>
        <w:t>下列初步设计用于清楚展示拟议的技术集成方案。课程汇报指南允许提案阶段的设计尚未完全完成，但最终交付物必须包含系统设计[2，第8页]。</w:t>
      </w:r>
    </w:p>
    <w:p>
      <w:pPr>
        <w:jc w:val="both"/>
      </w:pPr>
      <w:r>
        <w:drawing>
          <wp:inline xmlns:a="http://schemas.openxmlformats.org/drawingml/2006/main" xmlns:pic="http://schemas.openxmlformats.org/drawingml/2006/picture">
            <wp:extent cx="5943600" cy="3195027"/>
            <wp:docPr id="1" name="Picture 1" descr="Tender and bid files are parsed into a requirement checklist and an evidence index. Both feed rule and semantic checks, followed by a compliance matrix, human confirmation and an audit lo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195027"/>
                    </a:xfrm>
                    <a:prstGeom prst="rect"/>
                  </pic:spPr>
                </pic:pic>
              </a:graphicData>
            </a:graphic>
          </wp:inline>
        </w:drawing>
      </w:r>
    </w:p>
    <w:p>
      <w:pPr>
        <w:pStyle w:val="FigureCaption"/>
      </w:pPr>
      <w:r>
        <w:rPr>
          <w:rFonts w:ascii="Noto Sans CJK SC" w:hAnsi="Noto Sans CJK SC" w:eastAsia="Noto Sans CJK SC"/>
        </w:rPr>
        <w:t>图1  拟议推理工作流。人工反馈经整理后可用于后续离线更新，不会自动修改已部署模型。</w:t>
      </w:r>
    </w:p>
    <w:p>
      <w:pPr>
        <w:pStyle w:val="Heading2"/>
      </w:pPr>
      <w:r>
        <w:rPr>
          <w:rFonts w:ascii="Noto Sans CJK SC" w:hAnsi="Noto Sans CJK SC" w:eastAsia="Noto Sans CJK SC"/>
        </w:rPr>
        <w:t>证据与控制边界</w:t>
      </w:r>
    </w:p>
    <w:p>
      <w:pPr>
        <w:jc w:val="both"/>
      </w:pPr>
      <w:r>
        <w:rPr>
          <w:rFonts w:ascii="Noto Sans CJK SC" w:hAnsi="Noto Sans CJK SC" w:eastAsia="Noto Sans CJK SC"/>
        </w:rPr>
        <w:t>每个要求框架都将保留项目与文件编号、页码或章节、原文、义务、比较运算符、数值、单位和适用条件。所有抽取值必须能够追溯到原始段落。条款分类器用于辅助整理，但不会静默丢弃低置信度条款。</w:t>
      </w:r>
    </w:p>
    <w:p>
      <w:pPr>
        <w:jc w:val="both"/>
      </w:pPr>
      <w:r>
        <w:rPr>
          <w:rFonts w:ascii="Noto Sans CJK SC" w:hAnsi="Noto Sans CJK SC" w:eastAsia="Noto Sans CJK SC"/>
        </w:rPr>
        <w:t>关键词检索和语义检索仅搜索当前项目文件包。规则引擎和语言模型将使用相同证据。如果规则判断与语义判断不一致，系统将连同两类推理记录一起转交人工处理。模型生成的引用必须能够定位到真实存储的原文段落。</w:t>
      </w:r>
    </w:p>
    <w:p>
      <w:pPr>
        <w:jc w:val="both"/>
      </w:pPr>
      <w:r>
        <w:rPr>
          <w:rFonts w:ascii="Noto Sans CJK SC" w:hAnsi="Noto Sans CJK SC" w:eastAsia="Noto Sans CJK SC"/>
        </w:rPr>
        <w:t>初步实现将使用Python、PDF文本解析器、scikit-learn、本地证据索引和Streamlit界面。Notebook训练可在本地或Colab中使用获准数据运行。为保证可复现性，将记录程序库和模型版本、提示词、随机种子及规则版本。</w:t>
      </w:r>
    </w:p>
    <w:p>
      <w:pPr>
        <w:pStyle w:val="Heading1"/>
        <w:pageBreakBefore/>
        <w:spacing w:before="0"/>
      </w:pPr>
      <w:r>
        <w:rPr>
          <w:rFonts w:ascii="Noto Sans CJK SC" w:hAnsi="Noto Sans CJK SC" w:eastAsia="Noto Sans CJK SC"/>
        </w:rPr>
        <w:t>5. 数据获取与准备</w:t>
      </w:r>
    </w:p>
    <w:p>
      <w:pPr>
        <w:jc w:val="both"/>
      </w:pPr>
      <w:r>
        <w:rPr>
          <w:rFonts w:ascii="Noto Sans CJK SC" w:hAnsi="Noto Sans CJK SC" w:eastAsia="Noto Sans CJK SC"/>
          <w:b/>
        </w:rPr>
        <w:t>工程语料库：尚待获取。</w:t>
      </w:r>
      <w:r>
        <w:rPr>
          <w:rFonts w:ascii="Noto Sans CJK SC" w:hAnsi="Noto Sans CJK SC" w:eastAsia="Noto Sans CJK SC"/>
        </w:rPr>
        <w:t>目标为15至25个获准用于研究的独立项目文件包，最好同时包含招标文件和承包商响应。候选来源包括具有明确许可的公开案例、教师批准的教学材料，以及经授权提供并完成去标识化的文件。目前尚未获得确定的工程数据集或外部合作伙伴。</w:t>
      </w:r>
    </w:p>
    <w:p>
      <w:pPr>
        <w:jc w:val="both"/>
      </w:pPr>
      <w:r>
        <w:rPr>
          <w:rFonts w:ascii="Noto Sans CJK SC" w:hAnsi="Noto Sans CJK SC" w:eastAsia="Noto Sans CJK SC"/>
          <w:b/>
        </w:rPr>
        <w:t>参考数据集：可用候选。</w:t>
      </w:r>
      <w:r>
        <w:rPr>
          <w:rFonts w:ascii="Noto Sans CJK SC" w:hAnsi="Noto Sans CJK SC" w:eastAsia="Noto Sans CJK SC"/>
        </w:rPr>
        <w:t>CUAD包含510份商业合同以及41类条款标注[7]；ContractNLI包含基于607份保密协议的证据标注推理样例[6]。这些数据可用于任务原型与标注设计，但其标签和领域不能直接视为工程招投标数据集。</w:t>
      </w:r>
    </w:p>
    <w:p>
      <w:pPr>
        <w:jc w:val="both"/>
      </w:pPr>
      <w:r>
        <w:rPr>
          <w:rFonts w:ascii="Noto Sans CJK SC" w:hAnsi="Noto Sans CJK SC" w:eastAsia="Noto Sans CJK SC"/>
          <w:b/>
        </w:rPr>
        <w:t>访问限制。</w:t>
      </w:r>
      <w:r>
        <w:rPr>
          <w:rFonts w:ascii="Noto Sans CJK SC" w:hAnsi="Noto Sans CJK SC" w:eastAsia="Noto Sans CJK SC"/>
        </w:rPr>
        <w:t>GeBIZ说明，招标附件用于帮助注册贸易伙伴准备投标响应，其中信息必须按预定目的使用[9]。本项目不会默认拥有抓取、再分发这些附件或使用其训练模型的许可。</w:t>
      </w:r>
    </w:p>
    <w:p>
      <w:pPr>
        <w:pStyle w:val="Heading2"/>
      </w:pPr>
      <w:r>
        <w:rPr>
          <w:rFonts w:ascii="Noto Sans CJK SC" w:hAnsi="Noto Sans CJK SC" w:eastAsia="Noto Sans CJK SC"/>
        </w:rPr>
        <w:t>计划的标注与质量控制</w:t>
      </w:r>
    </w:p>
    <w:p>
      <w:pPr>
        <w:jc w:val="both"/>
      </w:pPr>
      <w:r>
        <w:rPr>
          <w:rFonts w:ascii="Noto Sans CJK SC" w:hAnsi="Noto Sans CJK SC" w:eastAsia="Noto Sans CJK SC"/>
        </w:rPr>
        <w:t>规划目标为600至1,000条已标注条款和250至400组“要求—响应”文本对；在数据访问允许的情况下，至少保留100组经独立复核的真实文本对用于评估。这些数量属于可行性目标。标注训练集、检索语料库和评估集用途不同，将分别记录。</w:t>
      </w:r>
    </w:p>
    <w:p>
      <w:pPr>
        <w:pStyle w:val="ProjectBullet"/>
        <w:numPr>
          <w:ilvl w:val="0"/>
          <w:numId w:val="50"/>
        </w:numPr>
      </w:pPr>
      <w:r>
        <w:rPr>
          <w:rFonts w:ascii="Noto Sans CJK SC" w:hAnsi="Noto Sans CJK SC" w:eastAsia="Noto Sans CJK SC"/>
        </w:rPr>
        <w:t>保留项目、文件、页码、章节、版本、语言与使用许可元数据；标记无法读取的页面，并删除跨项目重复内容。</w:t>
      </w:r>
    </w:p>
    <w:p>
      <w:pPr>
        <w:pStyle w:val="ProjectBullet"/>
        <w:numPr>
          <w:ilvl w:val="0"/>
          <w:numId w:val="50"/>
        </w:numPr>
      </w:pPr>
      <w:r>
        <w:rPr>
          <w:rFonts w:ascii="Noto Sans CJK SC" w:hAnsi="Noto Sans CJK SC" w:eastAsia="Noto Sans CJK SC"/>
        </w:rPr>
        <w:t>先在50条条款上试用书面标注指南。两名标注人员独立标注至少25%的条款以及全部最终评估文本对；对分歧进行裁决，并报告标注一致性。</w:t>
      </w:r>
    </w:p>
    <w:p>
      <w:pPr>
        <w:pStyle w:val="ProjectBullet"/>
        <w:numPr>
          <w:ilvl w:val="0"/>
          <w:numId w:val="50"/>
        </w:numPr>
      </w:pPr>
      <w:r>
        <w:rPr>
          <w:rFonts w:ascii="Noto Sans CJK SC" w:hAnsi="Noto Sans CJK SC" w:eastAsia="Noto Sans CJK SC"/>
        </w:rPr>
        <w:t>对于文本对，记录“满足／矛盾／证据不足”标签、准确的支持证据片段，以及所有单位或条件问题。随后结合检索和解析信息生成实际审查状态。</w:t>
      </w:r>
    </w:p>
    <w:p>
      <w:pPr>
        <w:pStyle w:val="ProjectBullet"/>
        <w:numPr>
          <w:ilvl w:val="0"/>
          <w:numId w:val="50"/>
        </w:numPr>
      </w:pPr>
      <w:r>
        <w:rPr>
          <w:rFonts w:ascii="Noto Sans CJK SC" w:hAnsi="Noto Sans CJK SC" w:eastAsia="Noto Sans CJK SC"/>
        </w:rPr>
        <w:t>在拟合向量化器或生成合成数据之前，按项目及模板系列以约70%／15%／15%划分训练集、验证集和测试集。相关修订版与生成变体必须位于同一数据子集；调参只能使用训练集和验证集。</w:t>
      </w:r>
    </w:p>
    <w:p>
      <w:pPr>
        <w:pStyle w:val="Callout"/>
        <w:shd w:fill="F4F6F9"/>
      </w:pPr>
      <w:r>
        <w:rPr>
          <w:rFonts w:ascii="Noto Sans CJK SC" w:hAnsi="Noto Sans CJK SC" w:eastAsia="Noto Sans CJK SC"/>
        </w:rPr>
        <w:t>数据检查节点——9月20日：如果获得的可用独立工程文件包少于10个，则缩小应用场景并披露评估限制。获许可的合同基准数据可以用于展示系统组件，合成工程案例只能用于展示工作流；两者都不能被描述为真实招投标验证。</w:t>
      </w:r>
    </w:p>
    <w:p>
      <w:pPr>
        <w:pStyle w:val="Heading1"/>
        <w:pageBreakBefore/>
        <w:spacing w:before="0"/>
      </w:pPr>
      <w:r>
        <w:rPr>
          <w:rFonts w:ascii="Noto Sans CJK SC" w:hAnsi="Noto Sans CJK SC" w:eastAsia="Noto Sans CJK SC"/>
        </w:rPr>
        <w:t>6. 评估方案与成功标准</w:t>
      </w:r>
    </w:p>
    <w:p>
      <w:pPr>
        <w:jc w:val="both"/>
      </w:pPr>
      <w:r>
        <w:rPr>
          <w:rFonts w:ascii="Noto Sans CJK SC" w:hAnsi="Noto Sans CJK SC" w:eastAsia="Noto Sans CJK SC"/>
        </w:rPr>
        <w:t>所有结果将在系统实现后产生。下列目标是项目期望，不是NUS评分门槛。模型、提示词、阈值和规则将利用验证数据选择，并在最终评估前冻结。测试文件可以建立索引用于推理，但其标签和审核人员答案不得进入训练或调参过程。</w:t>
      </w:r>
    </w:p>
    <w:p>
      <w:pPr>
        <w:pStyle w:val="Heading2"/>
      </w:pPr>
      <w:r>
        <w:rPr>
          <w:rFonts w:ascii="Noto Sans CJK SC" w:hAnsi="Noto Sans CJK SC" w:eastAsia="Noto Sans CJK SC"/>
        </w:rPr>
        <w:t>对比实验</w:t>
      </w:r>
    </w:p>
    <w:p>
      <w:pPr>
        <w:pStyle w:val="ProjectBullet"/>
        <w:numPr>
          <w:ilvl w:val="0"/>
          <w:numId w:val="50"/>
        </w:numPr>
      </w:pPr>
      <w:r>
        <w:rPr>
          <w:rFonts w:ascii="Noto Sans CJK SC" w:hAnsi="Noto Sans CJK SC" w:eastAsia="Noto Sans CJK SC"/>
        </w:rPr>
        <w:t>条款分类：比较“TF-IDF＋逻辑回归”与“冻结句向量＋线性分类器”，两者使用完全相同的项目划分和标签。</w:t>
      </w:r>
    </w:p>
    <w:p>
      <w:pPr>
        <w:pStyle w:val="ProjectBullet"/>
        <w:numPr>
          <w:ilvl w:val="0"/>
          <w:numId w:val="50"/>
        </w:numPr>
      </w:pPr>
      <w:r>
        <w:rPr>
          <w:rFonts w:ascii="Noto Sans CJK SC" w:hAnsi="Noto Sans CJK SC" w:eastAsia="Noto Sans CJK SC"/>
        </w:rPr>
        <w:t>系统基线：关键词清单匹配与规则。将其与使用检索证据的大语言模型比较，再与“检索＋大语言模型＋规则”的集成系统比较。后两种系统使用相同的检索设置与证据数量。</w:t>
      </w:r>
    </w:p>
    <w:p>
      <w:pPr>
        <w:pStyle w:val="ProjectBullet"/>
        <w:numPr>
          <w:ilvl w:val="0"/>
          <w:numId w:val="50"/>
        </w:numPr>
      </w:pPr>
      <w:r>
        <w:rPr>
          <w:rFonts w:ascii="Noto Sans CJK SC" w:hAnsi="Noto Sans CJK SC" w:eastAsia="Noto Sans CJK SC"/>
        </w:rPr>
        <w:t>区分抽取／检索错误与推理错误：既评估完整工作流，也在由人工确认要求和证据的受控条件下评估推理。不能把检索改进归因于推理模型。</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3000"/>
        <w:gridCol w:w="6360"/>
      </w:tblGrid>
      <w:tr>
        <w:trPr>
          <w:cantSplit/>
          <w:tblHeader/>
        </w:trPr>
        <w:tc>
          <w:tcPr>
            <w:tcW w:type="dxa" w:w="3000"/>
            <w:tcMar>
              <w:top w:w="80" w:type="dxa"/>
              <w:bottom w:w="80" w:type="dxa"/>
              <w:start w:w="120" w:type="dxa"/>
              <w:end w:w="120" w:type="dxa"/>
            </w:tcMar>
            <w:vAlign w:val="center"/>
            <w:shd w:fill="F4F6F9"/>
          </w:tcPr>
          <w:p>
            <w:pPr>
              <w:pStyle w:val="TableHead"/>
            </w:pPr>
            <w:r>
              <w:rPr>
                <w:rFonts w:ascii="Noto Sans CJK SC" w:hAnsi="Noto Sans CJK SC" w:eastAsia="Noto Sans CJK SC"/>
              </w:rPr>
              <w:t>指标</w:t>
            </w:r>
          </w:p>
        </w:tc>
        <w:tc>
          <w:tcPr>
            <w:tcW w:type="dxa" w:w="6360"/>
            <w:tcMar>
              <w:top w:w="80" w:type="dxa"/>
              <w:bottom w:w="80" w:type="dxa"/>
              <w:start w:w="120" w:type="dxa"/>
              <w:end w:w="120" w:type="dxa"/>
            </w:tcMar>
            <w:vAlign w:val="center"/>
            <w:shd w:fill="F4F6F9"/>
          </w:tcPr>
          <w:p>
            <w:pPr>
              <w:pStyle w:val="TableHead"/>
            </w:pPr>
            <w:r>
              <w:rPr>
                <w:rFonts w:ascii="Noto Sans CJK SC" w:hAnsi="Noto Sans CJK SC" w:eastAsia="Noto Sans CJK SC"/>
              </w:rPr>
              <w:t>计划目标／报告方式</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要求抽取</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相对已标注要求的F1≥0.85；报告遗漏的强制条款。</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证据检索</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对于已知存在支持证据的案例，Recall@5≥0.90。</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条款分类</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宏平均F1≥0.80；报告各类别结果及混淆矩阵。</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明确冲突检测</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在约定范围内，精确率≥0.80时召回率≥0.90。</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引用质量</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通过系统约束实现100%有效来源指针；抽查结论中至少95%获得所引段落支持。</w:t>
            </w:r>
          </w:p>
        </w:tc>
      </w:tr>
      <w:tr>
        <w:trPr>
          <w:cantSplit/>
        </w:trPr>
        <w:tc>
          <w:tcPr>
            <w:tcW w:type="dxa" w:w="3000"/>
            <w:tcMar>
              <w:top w:w="80" w:type="dxa"/>
              <w:bottom w:w="80" w:type="dxa"/>
              <w:start w:w="120" w:type="dxa"/>
              <w:end w:w="120" w:type="dxa"/>
            </w:tcMar>
            <w:vAlign w:val="center"/>
          </w:tcPr>
          <w:p>
            <w:pPr>
              <w:pStyle w:val="TableBody"/>
            </w:pPr>
            <w:r>
              <w:rPr>
                <w:rFonts w:ascii="Noto Sans CJK SC" w:hAnsi="Noto Sans CJK SC" w:eastAsia="Noto Sans CJK SC"/>
              </w:rPr>
              <w:t>审查工作量</w:t>
            </w:r>
          </w:p>
        </w:tc>
        <w:tc>
          <w:tcPr>
            <w:tcW w:type="dxa" w:w="6360"/>
            <w:tcMar>
              <w:top w:w="80" w:type="dxa"/>
              <w:bottom w:w="80" w:type="dxa"/>
              <w:start w:w="120" w:type="dxa"/>
              <w:end w:w="120" w:type="dxa"/>
            </w:tcMar>
            <w:vAlign w:val="center"/>
          </w:tcPr>
          <w:p>
            <w:pPr>
              <w:pStyle w:val="TableBody"/>
            </w:pPr>
            <w:r>
              <w:rPr>
                <w:rFonts w:ascii="Noto Sans CJK SC" w:hAnsi="Noto Sans CJK SC" w:eastAsia="Noto Sans CJK SC"/>
              </w:rPr>
              <w:t>目标为审查时间中位数降低至少30%；报告漏检、误报、弃权、延迟和实际成本。</w:t>
            </w:r>
          </w:p>
        </w:tc>
      </w:tr>
    </w:tbl>
    <w:p>
      <w:pPr>
        <w:pStyle w:val="Small"/>
        <w:spacing w:after="20"/>
      </w:pPr>
    </w:p>
    <w:p>
      <w:pPr>
        <w:pStyle w:val="TableCitation"/>
      </w:pPr>
      <w:r>
        <w:rPr>
          <w:rFonts w:ascii="Noto Sans CJK SC" w:hAnsi="Noto Sans CJK SC" w:eastAsia="Noto Sans CJK SC"/>
        </w:rPr>
        <w:t>在冻结评估方案前，将根据实际可获得的语料规模重新审视目标。若未达到目标，将如实报告并说明适用范围与错误分析，不通过重新定义测试来掩盖结果。</w:t>
      </w:r>
    </w:p>
    <w:p>
      <w:pPr>
        <w:pStyle w:val="Heading2"/>
      </w:pPr>
      <w:r>
        <w:rPr>
          <w:rFonts w:ascii="Noto Sans CJK SC" w:hAnsi="Noto Sans CJK SC" w:eastAsia="Noto Sans CJK SC"/>
        </w:rPr>
        <w:t>评估完整性</w:t>
      </w:r>
    </w:p>
    <w:p>
      <w:pPr>
        <w:jc w:val="both"/>
      </w:pPr>
      <w:r>
        <w:rPr>
          <w:rFonts w:ascii="Noto Sans CJK SC" w:hAnsi="Noto Sans CJK SC" w:eastAsia="Noto Sans CJK SC"/>
        </w:rPr>
        <w:t>如数据允许，至少使用三个留出项目，并报告案例数量及类别平衡情况。明确冲突召回率在全部真实冲突案例上计算；对于该指标，弃权判断按未检出处理。同时报告“需要人工审核”的覆盖比例，防止全部弃权的系统看似成功。小规模用户研究采用配对案例和顺序平衡设计；若参与者仅为学生，则把结果标注为探索性。项目数量有限会限制泛化结论。</w:t>
      </w:r>
    </w:p>
    <w:p>
      <w:pPr>
        <w:pStyle w:val="Heading1"/>
        <w:pageBreakBefore/>
        <w:spacing w:before="0"/>
      </w:pPr>
      <w:r>
        <w:rPr>
          <w:rFonts w:ascii="Noto Sans CJK SC" w:hAnsi="Noto Sans CJK SC" w:eastAsia="Noto Sans CJK SC"/>
        </w:rPr>
        <w:t>7. 可选的对抗困难样本研究</w:t>
      </w:r>
    </w:p>
    <w:p>
      <w:pPr>
        <w:jc w:val="both"/>
      </w:pPr>
      <w:r>
        <w:rPr>
          <w:rFonts w:ascii="Noto Sans CJK SC" w:hAnsi="Noto Sans CJK SC" w:eastAsia="Noto Sans CJK SC"/>
        </w:rPr>
        <w:t>研究问题：在使用相同证据的条件下，与等量普通数据增强及预训练大语言模型相比，定向困难样本能否提高轻量级模型识别细微工程要求—响应冲突的能力？本项目不预设轻量级模型会优于大语言模型。</w:t>
      </w:r>
    </w:p>
    <w:p>
      <w:pPr>
        <w:jc w:val="both"/>
      </w:pPr>
      <w:r>
        <w:rPr>
          <w:rFonts w:ascii="Noto Sans CJK SC" w:hAnsi="Noto Sans CJK SC" w:eastAsia="Noto Sans CJK SC"/>
        </w:rPr>
        <w:t>预训练生成模型通过改变数值、单位、时间口径、否定表达、适用范围或例外条件来生成候选训练样本。每个标签均由人工审核人员或经验证的规则确认。轻量级文本对分类器可采用句子对表示与线性分类头；若数据和时间充足，可选择微调编码器。</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5600"/>
        <w:gridCol w:w="3760"/>
      </w:tblGrid>
      <w:tr>
        <w:trPr>
          <w:cantSplit/>
          <w:tblHeader/>
        </w:trPr>
        <w:tc>
          <w:tcPr>
            <w:tcW w:type="dxa" w:w="5600"/>
            <w:tcMar>
              <w:top w:w="80" w:type="dxa"/>
              <w:bottom w:w="80" w:type="dxa"/>
              <w:start w:w="120" w:type="dxa"/>
              <w:end w:w="120" w:type="dxa"/>
            </w:tcMar>
            <w:vAlign w:val="center"/>
            <w:shd w:fill="F4F6F9"/>
          </w:tcPr>
          <w:p>
            <w:pPr>
              <w:pStyle w:val="TableHead"/>
            </w:pPr>
            <w:r>
              <w:rPr>
                <w:rFonts w:ascii="Noto Sans CJK SC" w:hAnsi="Noto Sans CJK SC" w:eastAsia="Noto Sans CJK SC"/>
              </w:rPr>
              <w:t>示例响应</w:t>
            </w:r>
          </w:p>
        </w:tc>
        <w:tc>
          <w:tcPr>
            <w:tcW w:type="dxa" w:w="3760"/>
            <w:tcMar>
              <w:top w:w="80" w:type="dxa"/>
              <w:bottom w:w="80" w:type="dxa"/>
              <w:start w:w="120" w:type="dxa"/>
              <w:end w:w="120" w:type="dxa"/>
            </w:tcMar>
            <w:vAlign w:val="center"/>
            <w:shd w:fill="F4F6F9"/>
          </w:tcPr>
          <w:p>
            <w:pPr>
              <w:pStyle w:val="TableHead"/>
            </w:pPr>
            <w:r>
              <w:rPr>
                <w:rFonts w:ascii="Noto Sans CJK SC" w:hAnsi="Noto Sans CJK SC" w:eastAsia="Noto Sans CJK SC"/>
              </w:rPr>
              <w:t>预期判定</w:t>
            </w:r>
          </w:p>
        </w:tc>
      </w:tr>
      <w:tr>
        <w:trPr>
          <w:cantSplit/>
        </w:trPr>
        <w:tc>
          <w:tcPr>
            <w:tcW w:type="dxa" w:w="5600"/>
            <w:tcMar>
              <w:top w:w="80" w:type="dxa"/>
              <w:bottom w:w="80" w:type="dxa"/>
              <w:start w:w="120" w:type="dxa"/>
              <w:end w:w="120" w:type="dxa"/>
            </w:tcMar>
            <w:vAlign w:val="center"/>
          </w:tcPr>
          <w:p>
            <w:pPr>
              <w:pStyle w:val="TableBody"/>
            </w:pPr>
            <w:r>
              <w:rPr>
                <w:rFonts w:ascii="Noto Sans CJK SC" w:hAnsi="Noto Sans CJK SC" w:eastAsia="Noto Sans CJK SC"/>
              </w:rPr>
              <w:t>170个日历日，包括调试期</w:t>
            </w:r>
          </w:p>
        </w:tc>
        <w:tc>
          <w:tcPr>
            <w:tcW w:type="dxa" w:w="3760"/>
            <w:tcMar>
              <w:top w:w="80" w:type="dxa"/>
              <w:bottom w:w="80" w:type="dxa"/>
              <w:start w:w="120" w:type="dxa"/>
              <w:end w:w="120" w:type="dxa"/>
            </w:tcMar>
            <w:vAlign w:val="center"/>
          </w:tcPr>
          <w:p>
            <w:pPr>
              <w:pStyle w:val="TableBody"/>
            </w:pPr>
            <w:r>
              <w:rPr>
                <w:rFonts w:ascii="Noto Sans CJK SC" w:hAnsi="Noto Sans CJK SC" w:eastAsia="Noto Sans CJK SC"/>
              </w:rPr>
              <w:t>满足所述工期要求。</w:t>
            </w:r>
          </w:p>
        </w:tc>
      </w:tr>
      <w:tr>
        <w:trPr>
          <w:cantSplit/>
        </w:trPr>
        <w:tc>
          <w:tcPr>
            <w:tcW w:type="dxa" w:w="5600"/>
            <w:tcMar>
              <w:top w:w="80" w:type="dxa"/>
              <w:bottom w:w="80" w:type="dxa"/>
              <w:start w:w="120" w:type="dxa"/>
              <w:end w:w="120" w:type="dxa"/>
            </w:tcMar>
            <w:vAlign w:val="center"/>
          </w:tcPr>
          <w:p>
            <w:pPr>
              <w:pStyle w:val="TableBody"/>
            </w:pPr>
            <w:r>
              <w:rPr>
                <w:rFonts w:ascii="Noto Sans CJK SC" w:hAnsi="Noto Sans CJK SC" w:eastAsia="Noto Sans CJK SC"/>
              </w:rPr>
              <w:t>190个日历日，包括调试期</w:t>
            </w:r>
          </w:p>
        </w:tc>
        <w:tc>
          <w:tcPr>
            <w:tcW w:type="dxa" w:w="3760"/>
            <w:tcMar>
              <w:top w:w="80" w:type="dxa"/>
              <w:bottom w:w="80" w:type="dxa"/>
              <w:start w:w="120" w:type="dxa"/>
              <w:end w:w="120" w:type="dxa"/>
            </w:tcMar>
            <w:vAlign w:val="center"/>
          </w:tcPr>
          <w:p>
            <w:pPr>
              <w:pStyle w:val="TableBody"/>
            </w:pPr>
            <w:r>
              <w:rPr>
                <w:rFonts w:ascii="Noto Sans CJK SC" w:hAnsi="Noto Sans CJK SC" w:eastAsia="Noto Sans CJK SC"/>
              </w:rPr>
              <w:t>与工期上限冲突。</w:t>
            </w:r>
          </w:p>
        </w:tc>
      </w:tr>
      <w:tr>
        <w:trPr>
          <w:cantSplit/>
        </w:trPr>
        <w:tc>
          <w:tcPr>
            <w:tcW w:type="dxa" w:w="5600"/>
            <w:tcMar>
              <w:top w:w="80" w:type="dxa"/>
              <w:bottom w:w="80" w:type="dxa"/>
              <w:start w:w="120" w:type="dxa"/>
              <w:end w:w="120" w:type="dxa"/>
            </w:tcMar>
            <w:vAlign w:val="center"/>
          </w:tcPr>
          <w:p>
            <w:pPr>
              <w:pStyle w:val="TableBody"/>
            </w:pPr>
            <w:r>
              <w:rPr>
                <w:rFonts w:ascii="Noto Sans CJK SC" w:hAnsi="Noto Sans CJK SC" w:eastAsia="Noto Sans CJK SC"/>
              </w:rPr>
              <w:t>施工期170个日历日；另计调试期</w:t>
            </w:r>
          </w:p>
        </w:tc>
        <w:tc>
          <w:tcPr>
            <w:tcW w:type="dxa" w:w="3760"/>
            <w:tcMar>
              <w:top w:w="80" w:type="dxa"/>
              <w:bottom w:w="80" w:type="dxa"/>
              <w:start w:w="120" w:type="dxa"/>
              <w:end w:w="120" w:type="dxa"/>
            </w:tcMar>
            <w:vAlign w:val="center"/>
          </w:tcPr>
          <w:p>
            <w:pPr>
              <w:pStyle w:val="TableBody"/>
            </w:pPr>
            <w:r>
              <w:rPr>
                <w:rFonts w:ascii="Noto Sans CJK SC" w:hAnsi="Noto Sans CJK SC" w:eastAsia="Noto Sans CJK SC"/>
              </w:rPr>
              <w:t>证据不足，无法确定总工期。</w:t>
            </w:r>
          </w:p>
        </w:tc>
      </w:tr>
      <w:tr>
        <w:trPr>
          <w:cantSplit/>
        </w:trPr>
        <w:tc>
          <w:tcPr>
            <w:tcW w:type="dxa" w:w="5600"/>
            <w:tcMar>
              <w:top w:w="80" w:type="dxa"/>
              <w:bottom w:w="80" w:type="dxa"/>
              <w:start w:w="120" w:type="dxa"/>
              <w:end w:w="120" w:type="dxa"/>
            </w:tcMar>
            <w:vAlign w:val="center"/>
          </w:tcPr>
          <w:p>
            <w:pPr>
              <w:pStyle w:val="TableBody"/>
            </w:pPr>
            <w:r>
              <w:rPr>
                <w:rFonts w:ascii="Noto Sans CJK SC" w:hAnsi="Noto Sans CJK SC" w:eastAsia="Noto Sans CJK SC"/>
              </w:rPr>
              <w:t>170个工作日，包括调试期</w:t>
            </w:r>
          </w:p>
        </w:tc>
        <w:tc>
          <w:tcPr>
            <w:tcW w:type="dxa" w:w="3760"/>
            <w:tcMar>
              <w:top w:w="80" w:type="dxa"/>
              <w:bottom w:w="80" w:type="dxa"/>
              <w:start w:w="120" w:type="dxa"/>
              <w:end w:w="120" w:type="dxa"/>
            </w:tcMar>
            <w:vAlign w:val="center"/>
          </w:tcPr>
          <w:p>
            <w:pPr>
              <w:pStyle w:val="TableBody"/>
            </w:pPr>
            <w:r>
              <w:rPr>
                <w:rFonts w:ascii="Noto Sans CJK SC" w:hAnsi="Noto Sans CJK SC" w:eastAsia="Noto Sans CJK SC"/>
              </w:rPr>
              <w:t>时间口径不同，需要工作日历才能比较。</w:t>
            </w:r>
          </w:p>
        </w:tc>
      </w:tr>
    </w:tbl>
    <w:p>
      <w:pPr>
        <w:pStyle w:val="Small"/>
        <w:spacing w:after="20"/>
      </w:pPr>
    </w:p>
    <w:p>
      <w:pPr>
        <w:pStyle w:val="TableCitation"/>
      </w:pPr>
      <w:r>
        <w:rPr>
          <w:rFonts w:ascii="Noto Sans CJK SC" w:hAnsi="Noto Sans CJK SC" w:eastAsia="Noto Sans CJK SC"/>
        </w:rPr>
        <w:t>示例要求：总工期不得超过180个日历日，且必须包括调试期。以上为虚构教学案例，并非从实际项目中提取的结论。</w:t>
      </w:r>
    </w:p>
    <w:p>
      <w:pPr>
        <w:pStyle w:val="Heading2"/>
      </w:pPr>
      <w:r>
        <w:rPr>
          <w:rFonts w:ascii="Noto Sans CJK SC" w:hAnsi="Noto Sans CJK SC" w:eastAsia="Noto Sans CJK SC"/>
        </w:rPr>
        <w:t>受控实验</w:t>
      </w:r>
    </w:p>
    <w:p>
      <w:pPr>
        <w:jc w:val="both"/>
      </w:pPr>
      <w:r>
        <w:rPr>
          <w:rFonts w:ascii="Noto Sans CJK SC" w:hAnsi="Noto Sans CJK SC" w:eastAsia="Noto Sans CJK SC"/>
        </w:rPr>
        <w:t>比较同一轻量级模型在无数据增强、普通数据增强和定向困难样本增强三种条件下的表现。两个增强条件新增样本数量与训练预算保持一致。所有模型变体和大语言模型均在同一组经人工验证的真实文本对上评估；合成压力测试单独报告。生成数据和近重复数据不得跨越项目数据划分。</w:t>
      </w:r>
    </w:p>
    <w:p>
      <w:pPr>
        <w:jc w:val="both"/>
      </w:pPr>
      <w:r>
        <w:rPr>
          <w:rFonts w:ascii="Noto Sans CJK SC" w:hAnsi="Noto Sans CJK SC" w:eastAsia="Noto Sans CJK SC"/>
        </w:rPr>
        <w:t>报告宏平均F1、相同精确率下的冲突召回率、弃权率，以及各类扰动对应的错误。记录生成器版本、提示词、样本拒绝率和生成成本。积极结果必须在真实留出案例上成立，而不能只适用于生成器自身的写作风格。</w:t>
      </w:r>
    </w:p>
    <w:p>
      <w:pPr>
        <w:pStyle w:val="Heading2"/>
      </w:pPr>
      <w:r>
        <w:rPr>
          <w:rFonts w:ascii="Noto Sans CJK SC" w:hAnsi="Noto Sans CJK SC" w:eastAsia="Noto Sans CJK SC"/>
        </w:rPr>
        <w:t>与GAN的关系及交付检查节点</w:t>
      </w:r>
    </w:p>
    <w:p>
      <w:pPr>
        <w:jc w:val="both"/>
      </w:pPr>
      <w:r>
        <w:rPr>
          <w:rFonts w:ascii="Noto Sans CJK SC" w:hAnsi="Noto Sans CJK SC" w:eastAsia="Noto Sans CJK SC"/>
        </w:rPr>
        <w:t>困难样本生成本身不等于GAN。GAN-BERT提供了半监督分类的参考方法[8]，复现该方法属于进一步扩展。10月4日评估数据、基线稳定性和剩余时间；若条件不足，则保留压力测试集，并优先完成核心系统。</w:t>
      </w:r>
    </w:p>
    <w:p>
      <w:pPr>
        <w:pStyle w:val="Heading1"/>
        <w:pageBreakBefore/>
        <w:spacing w:before="0"/>
      </w:pPr>
      <w:r>
        <w:rPr>
          <w:rFonts w:ascii="Noto Sans CJK SC" w:hAnsi="Noto Sans CJK SC" w:eastAsia="Noto Sans CJK SC"/>
        </w:rPr>
        <w:t>8. 工作计划、职责与资源</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2140"/>
        <w:gridCol w:w="7220"/>
      </w:tblGrid>
      <w:tr>
        <w:trPr>
          <w:cantSplit/>
          <w:tblHeader/>
        </w:trPr>
        <w:tc>
          <w:tcPr>
            <w:tcW w:type="dxa" w:w="2140"/>
            <w:tcMar>
              <w:top w:w="80" w:type="dxa"/>
              <w:bottom w:w="80" w:type="dxa"/>
              <w:start w:w="120" w:type="dxa"/>
              <w:end w:w="120" w:type="dxa"/>
            </w:tcMar>
            <w:vAlign w:val="center"/>
            <w:shd w:fill="F4F6F9"/>
          </w:tcPr>
          <w:p>
            <w:pPr>
              <w:pStyle w:val="TableHead"/>
            </w:pPr>
            <w:r>
              <w:rPr>
                <w:rFonts w:ascii="Noto Sans CJK SC" w:hAnsi="Noto Sans CJK SC" w:eastAsia="Noto Sans CJK SC"/>
              </w:rPr>
              <w:t>时间（2026年）</w:t>
            </w:r>
          </w:p>
        </w:tc>
        <w:tc>
          <w:tcPr>
            <w:tcW w:type="dxa" w:w="7220"/>
            <w:tcMar>
              <w:top w:w="80" w:type="dxa"/>
              <w:bottom w:w="80" w:type="dxa"/>
              <w:start w:w="120" w:type="dxa"/>
              <w:end w:w="120" w:type="dxa"/>
            </w:tcMar>
            <w:vAlign w:val="center"/>
            <w:shd w:fill="F4F6F9"/>
          </w:tcPr>
          <w:p>
            <w:pPr>
              <w:pStyle w:val="TableHead"/>
            </w:pPr>
            <w:r>
              <w:rPr>
                <w:rFonts w:ascii="Noto Sans CJK SC" w:hAnsi="Noto Sans CJK SC" w:eastAsia="Noto Sans CJK SC"/>
              </w:rPr>
              <w:t>里程碑／可审查输出</w:t>
            </w:r>
          </w:p>
        </w:tc>
      </w:tr>
      <w:tr>
        <w:trPr>
          <w:cantSplit/>
        </w:trPr>
        <w:tc>
          <w:tcPr>
            <w:tcW w:type="dxa" w:w="2140"/>
            <w:tcMar>
              <w:top w:w="80" w:type="dxa"/>
              <w:bottom w:w="80" w:type="dxa"/>
              <w:start w:w="120" w:type="dxa"/>
              <w:end w:w="120" w:type="dxa"/>
            </w:tcMar>
            <w:vAlign w:val="center"/>
          </w:tcPr>
          <w:p>
            <w:pPr>
              <w:pStyle w:val="TableBody"/>
            </w:pPr>
            <w:r>
              <w:rPr>
                <w:rFonts w:ascii="Noto Sans CJK SC" w:hAnsi="Noto Sans CJK SC" w:eastAsia="Noto Sans CJK SC"/>
              </w:rPr>
              <w:t>9月7—13日</w:t>
            </w:r>
          </w:p>
        </w:tc>
        <w:tc>
          <w:tcPr>
            <w:tcW w:type="dxa" w:w="7220"/>
            <w:tcMar>
              <w:top w:w="80" w:type="dxa"/>
              <w:bottom w:w="80" w:type="dxa"/>
              <w:start w:w="120" w:type="dxa"/>
              <w:end w:w="120" w:type="dxa"/>
            </w:tcMar>
            <w:vAlign w:val="center"/>
          </w:tcPr>
          <w:p>
            <w:pPr>
              <w:pStyle w:val="TableBody"/>
            </w:pPr>
            <w:r>
              <w:rPr>
                <w:rFonts w:ascii="Noto Sans CJK SC" w:hAnsi="Noto Sans CJK SC" w:eastAsia="Noto Sans CJK SC"/>
              </w:rPr>
              <w:t>确定范围和团队信息；9月13日23:59前提交提案。</w:t>
            </w:r>
          </w:p>
        </w:tc>
      </w:tr>
      <w:tr>
        <w:trPr>
          <w:cantSplit/>
        </w:trPr>
        <w:tc>
          <w:tcPr>
            <w:tcW w:type="dxa" w:w="2140"/>
            <w:tcMar>
              <w:top w:w="80" w:type="dxa"/>
              <w:bottom w:w="80" w:type="dxa"/>
              <w:start w:w="120" w:type="dxa"/>
              <w:end w:w="120" w:type="dxa"/>
            </w:tcMar>
            <w:vAlign w:val="center"/>
          </w:tcPr>
          <w:p>
            <w:pPr>
              <w:pStyle w:val="TableBody"/>
            </w:pPr>
            <w:r>
              <w:rPr>
                <w:rFonts w:ascii="Noto Sans CJK SC" w:hAnsi="Noto Sans CJK SC" w:eastAsia="Noto Sans CJK SC"/>
              </w:rPr>
              <w:t>9月14—20日</w:t>
            </w:r>
          </w:p>
        </w:tc>
        <w:tc>
          <w:tcPr>
            <w:tcW w:type="dxa" w:w="7220"/>
            <w:tcMar>
              <w:top w:w="80" w:type="dxa"/>
              <w:bottom w:w="80" w:type="dxa"/>
              <w:start w:w="120" w:type="dxa"/>
              <w:end w:w="120" w:type="dxa"/>
            </w:tcMar>
            <w:vAlign w:val="center"/>
          </w:tcPr>
          <w:p>
            <w:pPr>
              <w:pStyle w:val="TableBody"/>
            </w:pPr>
            <w:r>
              <w:rPr>
                <w:rFonts w:ascii="Noto Sans CJK SC" w:hAnsi="Noto Sans CJK SC" w:eastAsia="Noto Sans CJK SC"/>
              </w:rPr>
              <w:t>按通知进行提案汇报；建立数据权利登记表，开展标注试点和数据访问检查。</w:t>
            </w:r>
          </w:p>
        </w:tc>
      </w:tr>
      <w:tr>
        <w:trPr>
          <w:cantSplit/>
        </w:trPr>
        <w:tc>
          <w:tcPr>
            <w:tcW w:type="dxa" w:w="2140"/>
            <w:tcMar>
              <w:top w:w="80" w:type="dxa"/>
              <w:bottom w:w="80" w:type="dxa"/>
              <w:start w:w="120" w:type="dxa"/>
              <w:end w:w="120" w:type="dxa"/>
            </w:tcMar>
            <w:vAlign w:val="center"/>
          </w:tcPr>
          <w:p>
            <w:pPr>
              <w:pStyle w:val="TableBody"/>
            </w:pPr>
            <w:r>
              <w:rPr>
                <w:rFonts w:ascii="Noto Sans CJK SC" w:hAnsi="Noto Sans CJK SC" w:eastAsia="Noto Sans CJK SC"/>
              </w:rPr>
              <w:t>9月21—27日</w:t>
            </w:r>
          </w:p>
        </w:tc>
        <w:tc>
          <w:tcPr>
            <w:tcW w:type="dxa" w:w="7220"/>
            <w:tcMar>
              <w:top w:w="80" w:type="dxa"/>
              <w:bottom w:w="80" w:type="dxa"/>
              <w:start w:w="120" w:type="dxa"/>
              <w:end w:w="120" w:type="dxa"/>
            </w:tcMar>
            <w:vAlign w:val="center"/>
          </w:tcPr>
          <w:p>
            <w:pPr>
              <w:pStyle w:val="TableBody"/>
            </w:pPr>
            <w:r>
              <w:rPr>
                <w:rFonts w:ascii="Noto Sans CJK SC" w:hAnsi="Noto Sans CJK SC" w:eastAsia="Noto Sans CJK SC"/>
              </w:rPr>
              <w:t>冻结分组数据划分；训练条款基线模型；产生首批抽取和检索结果。</w:t>
            </w:r>
          </w:p>
        </w:tc>
      </w:tr>
      <w:tr>
        <w:trPr>
          <w:cantSplit/>
        </w:trPr>
        <w:tc>
          <w:tcPr>
            <w:tcW w:type="dxa" w:w="2140"/>
            <w:tcMar>
              <w:top w:w="80" w:type="dxa"/>
              <w:bottom w:w="80" w:type="dxa"/>
              <w:start w:w="120" w:type="dxa"/>
              <w:end w:w="120" w:type="dxa"/>
            </w:tcMar>
            <w:vAlign w:val="center"/>
          </w:tcPr>
          <w:p>
            <w:pPr>
              <w:pStyle w:val="TableBody"/>
            </w:pPr>
            <w:r>
              <w:rPr>
                <w:rFonts w:ascii="Noto Sans CJK SC" w:hAnsi="Noto Sans CJK SC" w:eastAsia="Noto Sans CJK SC"/>
              </w:rPr>
              <w:t>9月28日—10月4日</w:t>
            </w:r>
          </w:p>
        </w:tc>
        <w:tc>
          <w:tcPr>
            <w:tcW w:type="dxa" w:w="7220"/>
            <w:tcMar>
              <w:top w:w="80" w:type="dxa"/>
              <w:bottom w:w="80" w:type="dxa"/>
              <w:start w:w="120" w:type="dxa"/>
              <w:end w:w="120" w:type="dxa"/>
            </w:tcMar>
            <w:vAlign w:val="center"/>
          </w:tcPr>
          <w:p>
            <w:pPr>
              <w:pStyle w:val="TableBody"/>
            </w:pPr>
            <w:r>
              <w:rPr>
                <w:rFonts w:ascii="Noto Sans CJK SC" w:hAnsi="Noto Sans CJK SC" w:eastAsia="Noto Sans CJK SC"/>
              </w:rPr>
              <w:t>集成规则、来源关联矩阵和人工审核；决定可选实验范围。</w:t>
            </w:r>
          </w:p>
        </w:tc>
      </w:tr>
      <w:tr>
        <w:trPr>
          <w:cantSplit/>
        </w:trPr>
        <w:tc>
          <w:tcPr>
            <w:tcW w:type="dxa" w:w="2140"/>
            <w:tcMar>
              <w:top w:w="80" w:type="dxa"/>
              <w:bottom w:w="80" w:type="dxa"/>
              <w:start w:w="120" w:type="dxa"/>
              <w:end w:w="120" w:type="dxa"/>
            </w:tcMar>
            <w:vAlign w:val="center"/>
          </w:tcPr>
          <w:p>
            <w:pPr>
              <w:pStyle w:val="TableBody"/>
            </w:pPr>
            <w:r>
              <w:rPr>
                <w:rFonts w:ascii="Noto Sans CJK SC" w:hAnsi="Noto Sans CJK SC" w:eastAsia="Noto Sans CJK SC"/>
              </w:rPr>
              <w:t>10月5—11日</w:t>
            </w:r>
          </w:p>
        </w:tc>
        <w:tc>
          <w:tcPr>
            <w:tcW w:type="dxa" w:w="7220"/>
            <w:tcMar>
              <w:top w:w="80" w:type="dxa"/>
              <w:bottom w:w="80" w:type="dxa"/>
              <w:start w:w="120" w:type="dxa"/>
              <w:end w:w="120" w:type="dxa"/>
            </w:tcMar>
            <w:vAlign w:val="center"/>
          </w:tcPr>
          <w:p>
            <w:pPr>
              <w:pStyle w:val="TableBody"/>
            </w:pPr>
            <w:r>
              <w:rPr>
                <w:rFonts w:ascii="Noto Sans CJK SC" w:hAnsi="Noto Sans CJK SC" w:eastAsia="Noto Sans CJK SC"/>
              </w:rPr>
              <w:t>开展验证实验与鲁棒性研究；修复具体失败模式。</w:t>
            </w:r>
          </w:p>
        </w:tc>
      </w:tr>
      <w:tr>
        <w:trPr>
          <w:cantSplit/>
        </w:trPr>
        <w:tc>
          <w:tcPr>
            <w:tcW w:type="dxa" w:w="2140"/>
            <w:tcMar>
              <w:top w:w="80" w:type="dxa"/>
              <w:bottom w:w="80" w:type="dxa"/>
              <w:start w:w="120" w:type="dxa"/>
              <w:end w:w="120" w:type="dxa"/>
            </w:tcMar>
            <w:vAlign w:val="center"/>
          </w:tcPr>
          <w:p>
            <w:pPr>
              <w:pStyle w:val="TableBody"/>
            </w:pPr>
            <w:r>
              <w:rPr>
                <w:rFonts w:ascii="Noto Sans CJK SC" w:hAnsi="Noto Sans CJK SC" w:eastAsia="Noto Sans CJK SC"/>
              </w:rPr>
              <w:t>10月12—18日</w:t>
            </w:r>
          </w:p>
        </w:tc>
        <w:tc>
          <w:tcPr>
            <w:tcW w:type="dxa" w:w="7220"/>
            <w:tcMar>
              <w:top w:w="80" w:type="dxa"/>
              <w:bottom w:w="80" w:type="dxa"/>
              <w:start w:w="120" w:type="dxa"/>
              <w:end w:w="120" w:type="dxa"/>
            </w:tcMar>
            <w:vAlign w:val="center"/>
          </w:tcPr>
          <w:p>
            <w:pPr>
              <w:pStyle w:val="TableBody"/>
            </w:pPr>
            <w:r>
              <w:rPr>
                <w:rFonts w:ascii="Noto Sans CJK SC" w:hAnsi="Noto Sans CJK SC" w:eastAsia="Noto Sans CJK SC"/>
              </w:rPr>
              <w:t>冻结系统；开展留出集评估和审查时间研究；起草报告与指南。</w:t>
            </w:r>
          </w:p>
        </w:tc>
      </w:tr>
      <w:tr>
        <w:trPr>
          <w:cantSplit/>
        </w:trPr>
        <w:tc>
          <w:tcPr>
            <w:tcW w:type="dxa" w:w="2140"/>
            <w:tcMar>
              <w:top w:w="80" w:type="dxa"/>
              <w:bottom w:w="80" w:type="dxa"/>
              <w:start w:w="120" w:type="dxa"/>
              <w:end w:w="120" w:type="dxa"/>
            </w:tcMar>
            <w:vAlign w:val="center"/>
          </w:tcPr>
          <w:p>
            <w:pPr>
              <w:pStyle w:val="TableBody"/>
            </w:pPr>
            <w:r>
              <w:rPr>
                <w:rFonts w:ascii="Noto Sans CJK SC" w:hAnsi="Noto Sans CJK SC" w:eastAsia="Noto Sans CJK SC"/>
              </w:rPr>
              <w:t>10月19—25日</w:t>
            </w:r>
          </w:p>
        </w:tc>
        <w:tc>
          <w:tcPr>
            <w:tcW w:type="dxa" w:w="7220"/>
            <w:tcMar>
              <w:top w:w="80" w:type="dxa"/>
              <w:bottom w:w="80" w:type="dxa"/>
              <w:start w:w="120" w:type="dxa"/>
              <w:end w:w="120" w:type="dxa"/>
            </w:tcMar>
            <w:vAlign w:val="center"/>
          </w:tcPr>
          <w:p>
            <w:pPr>
              <w:pStyle w:val="TableBody"/>
            </w:pPr>
            <w:r>
              <w:rPr>
                <w:rFonts w:ascii="Noto Sans CJK SC" w:hAnsi="Noto Sans CJK SC" w:eastAsia="Noto Sans CJK SC"/>
              </w:rPr>
              <w:t>完成最终集成和可复现性检查；录制两个视频；10月25日23:59前完成提交材料打包。</w:t>
            </w:r>
          </w:p>
        </w:tc>
      </w:tr>
    </w:tbl>
    <w:p>
      <w:pPr>
        <w:pStyle w:val="Small"/>
        <w:spacing w:after="20"/>
      </w:pPr>
    </w:p>
    <w:p>
      <w:pPr>
        <w:pStyle w:val="TableCitation"/>
      </w:pPr>
      <w:r>
        <w:rPr>
          <w:rFonts w:ascii="Noto Sans CJK SC" w:hAnsi="Noto Sans CJK SC" w:eastAsia="Noto Sans CJK SC"/>
        </w:rPr>
        <w:t>两个截止日期和次周汇报时间窗口来自已提供的课程说明[1，第14页]。提交前须核对Canvas实际通知与时区；目前汇报日期仍待确定。</w:t>
      </w:r>
    </w:p>
    <w:p>
      <w:pPr>
        <w:pStyle w:val="Heading2"/>
      </w:pPr>
      <w:r>
        <w:rPr>
          <w:rFonts w:ascii="Noto Sans CJK SC" w:hAnsi="Noto Sans CJK SC" w:eastAsia="Noto Sans CJK SC"/>
        </w:rPr>
        <w:t>工作分配</w:t>
      </w:r>
    </w:p>
    <w:p>
      <w:pPr>
        <w:jc w:val="both"/>
      </w:pPr>
      <w:r>
        <w:rPr>
          <w:rFonts w:ascii="Noto Sans CJK SC" w:hAnsi="Noto Sans CJK SC" w:eastAsia="Noto Sans CJK SC"/>
        </w:rPr>
        <w:t>团队成员仍待确认：最多五人，每人约投入10个人日[1，第6页]。应根据实际团队规模分配或合并以下工作流。</w:t>
      </w:r>
    </w:p>
    <w:p>
      <w:pPr>
        <w:pStyle w:val="ProjectBullet"/>
        <w:numPr>
          <w:ilvl w:val="0"/>
          <w:numId w:val="50"/>
        </w:numPr>
      </w:pPr>
      <w:r>
        <w:rPr>
          <w:rFonts w:ascii="Noto Sans CJK SC" w:hAnsi="Noto Sans CJK SC" w:eastAsia="Noto Sans CJK SC"/>
        </w:rPr>
        <w:t>领域与数据负责人：场景定义、使用许可、标注指南、专家审查及市场访谈。</w:t>
      </w:r>
    </w:p>
    <w:p>
      <w:pPr>
        <w:pStyle w:val="ProjectBullet"/>
        <w:numPr>
          <w:ilvl w:val="0"/>
          <w:numId w:val="50"/>
        </w:numPr>
      </w:pPr>
      <w:r>
        <w:rPr>
          <w:rFonts w:ascii="Noto Sans CJK SC" w:hAnsi="Noto Sans CJK SC" w:eastAsia="Noto Sans CJK SC"/>
        </w:rPr>
        <w:t>学习与评估负责人：分类器基线、数据划分完整性、评估指标及可选困难样本实验。</w:t>
      </w:r>
    </w:p>
    <w:p>
      <w:pPr>
        <w:pStyle w:val="ProjectBullet"/>
        <w:numPr>
          <w:ilvl w:val="0"/>
          <w:numId w:val="50"/>
        </w:numPr>
      </w:pPr>
      <w:r>
        <w:rPr>
          <w:rFonts w:ascii="Noto Sans CJK SC" w:hAnsi="Noto Sans CJK SC" w:eastAsia="Noto Sans CJK SC"/>
        </w:rPr>
        <w:t>检索与语言模型负责人：文件解析、索引、结构化抽取、证据链接及提示词。</w:t>
      </w:r>
    </w:p>
    <w:p>
      <w:pPr>
        <w:pStyle w:val="ProjectBullet"/>
        <w:numPr>
          <w:ilvl w:val="0"/>
          <w:numId w:val="50"/>
        </w:numPr>
      </w:pPr>
      <w:r>
        <w:rPr>
          <w:rFonts w:ascii="Noto Sans CJK SC" w:hAnsi="Noto Sans CJK SC" w:eastAsia="Noto Sans CJK SC"/>
        </w:rPr>
        <w:t>规则与集成负责人：约束检查、审查界面、审计记录、交付打包及共同质量保证。</w:t>
      </w:r>
    </w:p>
    <w:p>
      <w:pPr>
        <w:pStyle w:val="Heading2"/>
      </w:pPr>
      <w:r>
        <w:rPr>
          <w:rFonts w:ascii="Noto Sans CJK SC" w:hAnsi="Noto Sans CJK SC" w:eastAsia="Noto Sans CJK SC"/>
        </w:rPr>
        <w:t>资源假设</w:t>
      </w:r>
    </w:p>
    <w:p>
      <w:pPr>
        <w:jc w:val="both"/>
      </w:pPr>
      <w:r>
        <w:rPr>
          <w:rFonts w:ascii="Noto Sans CJK SC" w:hAnsi="Noto Sans CJK SC" w:eastAsia="Noto Sans CJK SC"/>
        </w:rPr>
        <w:t>在合适情况下使用现有计算机与开源组件。为可选推理或计算预留200新加坡元仅为规划假设，并非供应商报价或已批准支出。记录实际用量，并在达到约定上限时停止可选实验。私密文件只能通过获准方式处理。</w:t>
      </w:r>
    </w:p>
    <w:p>
      <w:pPr>
        <w:pStyle w:val="Heading1"/>
        <w:pageBreakBefore/>
        <w:spacing w:before="0"/>
      </w:pPr>
      <w:r>
        <w:rPr>
          <w:rFonts w:ascii="Noto Sans CJK SC" w:hAnsi="Noto Sans CJK SC" w:eastAsia="Noto Sans CJK SC"/>
        </w:rPr>
        <w:t>9. 风险、当前状态与交付物</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2680"/>
        <w:gridCol w:w="6680"/>
      </w:tblGrid>
      <w:tr>
        <w:trPr>
          <w:cantSplit/>
          <w:tblHeader/>
        </w:trPr>
        <w:tc>
          <w:tcPr>
            <w:tcW w:type="dxa" w:w="2680"/>
            <w:tcMar>
              <w:top w:w="80" w:type="dxa"/>
              <w:bottom w:w="80" w:type="dxa"/>
              <w:start w:w="120" w:type="dxa"/>
              <w:end w:w="120" w:type="dxa"/>
            </w:tcMar>
            <w:vAlign w:val="center"/>
            <w:shd w:fill="F4F6F9"/>
          </w:tcPr>
          <w:p>
            <w:pPr>
              <w:pStyle w:val="TableHead"/>
            </w:pPr>
            <w:r>
              <w:rPr>
                <w:rFonts w:ascii="Noto Sans CJK SC" w:hAnsi="Noto Sans CJK SC" w:eastAsia="Noto Sans CJK SC"/>
              </w:rPr>
              <w:t>主要风险</w:t>
            </w:r>
          </w:p>
        </w:tc>
        <w:tc>
          <w:tcPr>
            <w:tcW w:type="dxa" w:w="6680"/>
            <w:tcMar>
              <w:top w:w="80" w:type="dxa"/>
              <w:bottom w:w="80" w:type="dxa"/>
              <w:start w:w="120" w:type="dxa"/>
              <w:end w:w="120" w:type="dxa"/>
            </w:tcMar>
            <w:vAlign w:val="center"/>
            <w:shd w:fill="F4F6F9"/>
          </w:tcPr>
          <w:p>
            <w:pPr>
              <w:pStyle w:val="TableHead"/>
            </w:pPr>
            <w:r>
              <w:rPr>
                <w:rFonts w:ascii="Noto Sans CJK SC" w:hAnsi="Noto Sans CJK SC" w:eastAsia="Noto Sans CJK SC"/>
              </w:rPr>
              <w:t>缓解与升级措施</w:t>
            </w:r>
          </w:p>
        </w:tc>
      </w:tr>
      <w:tr>
        <w:trPr>
          <w:cantSplit/>
        </w:trPr>
        <w:tc>
          <w:tcPr>
            <w:tcW w:type="dxa" w:w="2680"/>
            <w:tcMar>
              <w:top w:w="80" w:type="dxa"/>
              <w:bottom w:w="80" w:type="dxa"/>
              <w:start w:w="120" w:type="dxa"/>
              <w:end w:w="120" w:type="dxa"/>
            </w:tcMar>
            <w:vAlign w:val="center"/>
          </w:tcPr>
          <w:p>
            <w:pPr>
              <w:pStyle w:val="TableBody"/>
            </w:pPr>
            <w:r>
              <w:rPr>
                <w:rFonts w:ascii="Noto Sans CJK SC" w:hAnsi="Noto Sans CJK SC" w:eastAsia="Noto Sans CJK SC"/>
              </w:rPr>
              <w:t>获准使用的数据不足</w:t>
            </w:r>
          </w:p>
        </w:tc>
        <w:tc>
          <w:tcPr>
            <w:tcW w:type="dxa" w:w="6680"/>
            <w:tcMar>
              <w:top w:w="80" w:type="dxa"/>
              <w:bottom w:w="80" w:type="dxa"/>
              <w:start w:w="120" w:type="dxa"/>
              <w:end w:w="120" w:type="dxa"/>
            </w:tcMar>
            <w:vAlign w:val="center"/>
          </w:tcPr>
          <w:p>
            <w:pPr>
              <w:pStyle w:val="TableBody"/>
            </w:pPr>
            <w:r>
              <w:rPr>
                <w:rFonts w:ascii="Noto Sans CJK SC" w:hAnsi="Noto Sans CJK SC" w:eastAsia="Noto Sans CJK SC"/>
              </w:rPr>
              <w:t>执行9月20日数据检查；缩小任务范围，并披露仅使用基准或合成证据的情况。</w:t>
            </w:r>
          </w:p>
        </w:tc>
      </w:tr>
      <w:tr>
        <w:trPr>
          <w:cantSplit/>
        </w:trPr>
        <w:tc>
          <w:tcPr>
            <w:tcW w:type="dxa" w:w="2680"/>
            <w:tcMar>
              <w:top w:w="80" w:type="dxa"/>
              <w:bottom w:w="80" w:type="dxa"/>
              <w:start w:w="120" w:type="dxa"/>
              <w:end w:w="120" w:type="dxa"/>
            </w:tcMar>
            <w:vAlign w:val="center"/>
          </w:tcPr>
          <w:p>
            <w:pPr>
              <w:pStyle w:val="TableBody"/>
            </w:pPr>
            <w:r>
              <w:rPr>
                <w:rFonts w:ascii="Noto Sans CJK SC" w:hAnsi="Noto Sans CJK SC" w:eastAsia="Noto Sans CJK SC"/>
              </w:rPr>
              <w:t>解析或检索遗漏</w:t>
            </w:r>
          </w:p>
        </w:tc>
        <w:tc>
          <w:tcPr>
            <w:tcW w:type="dxa" w:w="6680"/>
            <w:tcMar>
              <w:top w:w="80" w:type="dxa"/>
              <w:bottom w:w="80" w:type="dxa"/>
              <w:start w:w="120" w:type="dxa"/>
              <w:end w:w="120" w:type="dxa"/>
            </w:tcMar>
            <w:vAlign w:val="center"/>
          </w:tcPr>
          <w:p>
            <w:pPr>
              <w:pStyle w:val="TableBody"/>
            </w:pPr>
            <w:r>
              <w:rPr>
                <w:rFonts w:ascii="Noto Sans CJK SC" w:hAnsi="Noto Sans CJK SC" w:eastAsia="Noto Sans CJK SC"/>
              </w:rPr>
              <w:t>显示无法读取的页面和覆盖缺口；单独测试检索；不得静默地将未搜索项目标记为缺失。</w:t>
            </w:r>
          </w:p>
        </w:tc>
      </w:tr>
      <w:tr>
        <w:trPr>
          <w:cantSplit/>
        </w:trPr>
        <w:tc>
          <w:tcPr>
            <w:tcW w:type="dxa" w:w="2680"/>
            <w:tcMar>
              <w:top w:w="80" w:type="dxa"/>
              <w:bottom w:w="80" w:type="dxa"/>
              <w:start w:w="120" w:type="dxa"/>
              <w:end w:w="120" w:type="dxa"/>
            </w:tcMar>
            <w:vAlign w:val="center"/>
          </w:tcPr>
          <w:p>
            <w:pPr>
              <w:pStyle w:val="TableBody"/>
            </w:pPr>
            <w:r>
              <w:rPr>
                <w:rFonts w:ascii="Noto Sans CJK SC" w:hAnsi="Noto Sans CJK SC" w:eastAsia="Noto Sans CJK SC"/>
              </w:rPr>
              <w:t>含义理解或比较错误</w:t>
            </w:r>
          </w:p>
        </w:tc>
        <w:tc>
          <w:tcPr>
            <w:tcW w:type="dxa" w:w="6680"/>
            <w:tcMar>
              <w:top w:w="80" w:type="dxa"/>
              <w:bottom w:w="80" w:type="dxa"/>
              <w:start w:w="120" w:type="dxa"/>
              <w:end w:w="120" w:type="dxa"/>
            </w:tcMar>
            <w:vAlign w:val="center"/>
          </w:tcPr>
          <w:p>
            <w:pPr>
              <w:pStyle w:val="TableBody"/>
            </w:pPr>
            <w:r>
              <w:rPr>
                <w:rFonts w:ascii="Noto Sans CJK SC" w:hAnsi="Noto Sans CJK SC" w:eastAsia="Noto Sans CJK SC"/>
              </w:rPr>
              <w:t>保留原文片段、版本和单位；将口径不兼容及未解决例外转交人工处理。</w:t>
            </w:r>
          </w:p>
        </w:tc>
      </w:tr>
      <w:tr>
        <w:trPr>
          <w:cantSplit/>
        </w:trPr>
        <w:tc>
          <w:tcPr>
            <w:tcW w:type="dxa" w:w="2680"/>
            <w:tcMar>
              <w:top w:w="80" w:type="dxa"/>
              <w:bottom w:w="80" w:type="dxa"/>
              <w:start w:w="120" w:type="dxa"/>
              <w:end w:w="120" w:type="dxa"/>
            </w:tcMar>
            <w:vAlign w:val="center"/>
          </w:tcPr>
          <w:p>
            <w:pPr>
              <w:pStyle w:val="TableBody"/>
            </w:pPr>
            <w:r>
              <w:rPr>
                <w:rFonts w:ascii="Noto Sans CJK SC" w:hAnsi="Noto Sans CJK SC" w:eastAsia="Noto Sans CJK SC"/>
              </w:rPr>
              <w:t>大语言模型幻觉／文件内嵌指令</w:t>
            </w:r>
          </w:p>
        </w:tc>
        <w:tc>
          <w:tcPr>
            <w:tcW w:type="dxa" w:w="6680"/>
            <w:tcMar>
              <w:top w:w="80" w:type="dxa"/>
              <w:bottom w:w="80" w:type="dxa"/>
              <w:start w:w="120" w:type="dxa"/>
              <w:end w:w="120" w:type="dxa"/>
            </w:tcMar>
            <w:vAlign w:val="center"/>
          </w:tcPr>
          <w:p>
            <w:pPr>
              <w:pStyle w:val="TableBody"/>
            </w:pPr>
            <w:r>
              <w:rPr>
                <w:rFonts w:ascii="Noto Sans CJK SC" w:hAnsi="Noto Sans CJK SC" w:eastAsia="Noto Sans CJK SC"/>
              </w:rPr>
              <w:t>将文件文本视为数据；强制提供来源指针；约束输出结构并拒绝无证据结论。</w:t>
            </w:r>
          </w:p>
        </w:tc>
      </w:tr>
      <w:tr>
        <w:trPr>
          <w:cantSplit/>
        </w:trPr>
        <w:tc>
          <w:tcPr>
            <w:tcW w:type="dxa" w:w="2680"/>
            <w:tcMar>
              <w:top w:w="80" w:type="dxa"/>
              <w:bottom w:w="80" w:type="dxa"/>
              <w:start w:w="120" w:type="dxa"/>
              <w:end w:w="120" w:type="dxa"/>
            </w:tcMar>
            <w:vAlign w:val="center"/>
          </w:tcPr>
          <w:p>
            <w:pPr>
              <w:pStyle w:val="TableBody"/>
            </w:pPr>
            <w:r>
              <w:rPr>
                <w:rFonts w:ascii="Noto Sans CJK SC" w:hAnsi="Noto Sans CJK SC" w:eastAsia="Noto Sans CJK SC"/>
              </w:rPr>
              <w:t>保密与未经授权的再利用</w:t>
            </w:r>
          </w:p>
        </w:tc>
        <w:tc>
          <w:tcPr>
            <w:tcW w:type="dxa" w:w="6680"/>
            <w:tcMar>
              <w:top w:w="80" w:type="dxa"/>
              <w:bottom w:w="80" w:type="dxa"/>
              <w:start w:w="120" w:type="dxa"/>
              <w:end w:w="120" w:type="dxa"/>
            </w:tcMar>
            <w:vAlign w:val="center"/>
          </w:tcPr>
          <w:p>
            <w:pPr>
              <w:pStyle w:val="TableBody"/>
            </w:pPr>
            <w:r>
              <w:rPr>
                <w:rFonts w:ascii="Noto Sans CJK SC" w:hAnsi="Noto Sans CJK SC" w:eastAsia="Noto Sans CJK SC"/>
              </w:rPr>
              <w:t>记录数据许可；在允许时去标识化；隔离不同项目，并将私密数据排除在公共代码仓库之外。</w:t>
            </w:r>
          </w:p>
        </w:tc>
      </w:tr>
      <w:tr>
        <w:trPr>
          <w:cantSplit/>
        </w:trPr>
        <w:tc>
          <w:tcPr>
            <w:tcW w:type="dxa" w:w="2680"/>
            <w:tcMar>
              <w:top w:w="80" w:type="dxa"/>
              <w:bottom w:w="80" w:type="dxa"/>
              <w:start w:w="120" w:type="dxa"/>
              <w:end w:w="120" w:type="dxa"/>
            </w:tcMar>
            <w:vAlign w:val="center"/>
          </w:tcPr>
          <w:p>
            <w:pPr>
              <w:pStyle w:val="TableBody"/>
            </w:pPr>
            <w:r>
              <w:rPr>
                <w:rFonts w:ascii="Noto Sans CJK SC" w:hAnsi="Noto Sans CJK SC" w:eastAsia="Noto Sans CJK SC"/>
              </w:rPr>
              <w:t>扩展实验占用交付时间</w:t>
            </w:r>
          </w:p>
        </w:tc>
        <w:tc>
          <w:tcPr>
            <w:tcW w:type="dxa" w:w="6680"/>
            <w:tcMar>
              <w:top w:w="80" w:type="dxa"/>
              <w:bottom w:w="80" w:type="dxa"/>
              <w:start w:w="120" w:type="dxa"/>
              <w:end w:w="120" w:type="dxa"/>
            </w:tcMar>
            <w:vAlign w:val="center"/>
          </w:tcPr>
          <w:p>
            <w:pPr>
              <w:pStyle w:val="TableBody"/>
            </w:pPr>
            <w:r>
              <w:rPr>
                <w:rFonts w:ascii="Noto Sans CJK SC" w:hAnsi="Noto Sans CJK SC" w:eastAsia="Noto Sans CJK SC"/>
              </w:rPr>
              <w:t>执行10月4日扩展检查；确保核心系统不依赖对抗训练。</w:t>
            </w:r>
          </w:p>
        </w:tc>
      </w:tr>
    </w:tbl>
    <w:p>
      <w:pPr>
        <w:pStyle w:val="Small"/>
        <w:spacing w:after="20"/>
      </w:pPr>
    </w:p>
    <w:p>
      <w:pPr>
        <w:pStyle w:val="Heading2"/>
      </w:pPr>
      <w:r>
        <w:rPr>
          <w:rFonts w:ascii="Noto Sans CJK SC" w:hAnsi="Noto Sans CJK SC" w:eastAsia="Noto Sans CJK SC"/>
        </w:rPr>
        <w:t>当前进展与剩余工作</w:t>
      </w:r>
    </w:p>
    <w:p>
      <w:pPr>
        <w:jc w:val="both"/>
      </w:pPr>
      <w:r>
        <w:rPr>
          <w:rFonts w:ascii="Noto Sans CJK SC" w:hAnsi="Noto Sans CJK SC" w:eastAsia="Noto Sans CJK SC"/>
        </w:rPr>
        <w:t>本草案已包含范围明确的商业案例、初步架构、基于来源的相关工作综述和计划评估方案。目前尚未完成原型运行、语料获取、用户访谈或性能测量，也不声称已经完成这些工作。下一步应确认团队信息与数据访问权限、验证标注指南，并建立一个小型端到端示例。</w:t>
      </w:r>
    </w:p>
    <w:p>
      <w:pPr>
        <w:pStyle w:val="Heading2"/>
      </w:pPr>
      <w:r>
        <w:rPr>
          <w:rFonts w:ascii="Noto Sans CJK SC" w:hAnsi="Noto Sans CJK SC" w:eastAsia="Noto Sans CJK SC"/>
        </w:rPr>
        <w:t>计划的最终提交内容</w:t>
      </w:r>
    </w:p>
    <w:p>
      <w:pPr>
        <w:pStyle w:val="ProjectBullet"/>
        <w:numPr>
          <w:ilvl w:val="0"/>
          <w:numId w:val="50"/>
        </w:numPr>
      </w:pPr>
      <w:r>
        <w:rPr>
          <w:rFonts w:ascii="Noto Sans CJK SC" w:hAnsi="Noto Sans CJK SC" w:eastAsia="Noto Sans CJK SC"/>
        </w:rPr>
        <w:t>一个可运行的智能推理系统，包括可复现配置、获准使用的样例数据以及安装／用户说明。</w:t>
      </w:r>
    </w:p>
    <w:p>
      <w:pPr>
        <w:pStyle w:val="ProjectBullet"/>
        <w:numPr>
          <w:ilvl w:val="0"/>
          <w:numId w:val="50"/>
        </w:numPr>
      </w:pPr>
      <w:r>
        <w:rPr>
          <w:rFonts w:ascii="Noto Sans CJK SC" w:hAnsi="Noto Sans CJK SC" w:eastAsia="Noto Sans CJK SC"/>
        </w:rPr>
        <w:t>一份小组报告，涵盖商业案例与相关工作、设计、实现、实验、发现和局限，并附提案、MR／RS／CGS对应关系及使用指南。</w:t>
      </w:r>
    </w:p>
    <w:p>
      <w:pPr>
        <w:pStyle w:val="ProjectBullet"/>
        <w:numPr>
          <w:ilvl w:val="0"/>
          <w:numId w:val="50"/>
        </w:numPr>
      </w:pPr>
      <w:r>
        <w:rPr>
          <w:rFonts w:ascii="Noto Sans CJK SC" w:hAnsi="Noto Sans CJK SC" w:eastAsia="Noto Sans CJK SC"/>
        </w:rPr>
        <w:t>两个独立的五分钟视频：一个介绍业务痛点／价值并演示使用案例，另一个说明系统设计与技术原理。视频由团队成员讲解；课程说明禁止使用AI生成汇报语音。</w:t>
      </w:r>
    </w:p>
    <w:p>
      <w:pPr>
        <w:pStyle w:val="ProjectBullet"/>
        <w:numPr>
          <w:ilvl w:val="0"/>
          <w:numId w:val="50"/>
        </w:numPr>
      </w:pPr>
      <w:r>
        <w:rPr>
          <w:rFonts w:ascii="Noto Sans CJK SC" w:hAnsi="Noto Sans CJK SC" w:eastAsia="Noto Sans CJK SC"/>
        </w:rPr>
        <w:t>使用IRS-PM提交模板建立代码仓库，并将下载的ZIP文件、member-github.txt、报告和视频一起打包用于小组提交。每位成员另行提交约一页的个人反思和互评。</w:t>
      </w:r>
    </w:p>
    <w:p>
      <w:pPr>
        <w:pStyle w:val="Small"/>
      </w:pPr>
      <w:r>
        <w:rPr>
          <w:rFonts w:ascii="Noto Sans CJK SC" w:hAnsi="Noto Sans CJK SC" w:eastAsia="Noto Sans CJK SC"/>
        </w:rPr>
        <w:t>交付物遵循已提供课程说明[1，第9—13页]。本提案本身是组长“Project Proposal”作业所需的DOCX／PDF文件；生成文件并不等于已经提交到Canvas。</w:t>
      </w:r>
    </w:p>
    <w:p>
      <w:pPr>
        <w:pStyle w:val="Heading1"/>
        <w:pageBreakBefore/>
        <w:spacing w:before="0"/>
      </w:pPr>
      <w:r>
        <w:rPr>
          <w:rFonts w:ascii="Noto Sans CJK SC" w:hAnsi="Noto Sans CJK SC" w:eastAsia="Noto Sans CJK SC"/>
        </w:rPr>
        <w:t>附录A：要求可追溯表</w:t>
      </w:r>
    </w:p>
    <w:p>
      <w:pPr>
        <w:jc w:val="both"/>
      </w:pPr>
      <w:r>
        <w:rPr>
          <w:rFonts w:ascii="Noto Sans CJK SC" w:hAnsi="Noto Sans CJK SC" w:eastAsia="Noto Sans CJK SC"/>
        </w:rPr>
        <w:t>汇报PDF用于指导提案和最终汇报的内容，不是强制性的书面文档模板，也未规定固定幻灯片页数[2，第1页]。本草案将其主题转换为书面提案，并纳入初步设计与评估计划，同时没有把计划描述为已完成工作。</w:t>
      </w:r>
    </w:p>
    <w:tbl>
      <w:tblPr>
        <w:tblW w:type="dxa" w:w="9360"/>
        <w:jc w:val="left"/>
        <w:tblLayout w:type="fixed"/>
        <w:tblLook w:firstColumn="1" w:firstRow="1" w:lastColumn="0" w:lastRow="0" w:noHBand="0" w:noVBand="1" w:val="04A0"/>
        <w:tblInd w:type="dxa" w:w="120"/>
        <w:tblBorders>
          <w:top w:val="single" w:sz="4" w:color="D4DDE5"/>
          <w:left w:val="single" w:sz="4" w:color="D4DDE5"/>
          <w:bottom w:val="single" w:sz="4" w:color="D4DDE5"/>
          <w:right w:val="single" w:sz="4" w:color="D4DDE5"/>
          <w:insideH w:val="single" w:sz="4" w:color="D4DDE5"/>
          <w:insideV w:val="single" w:sz="4" w:color="D4DDE5"/>
        </w:tblBorders>
      </w:tblPr>
      <w:tblGrid>
        <w:gridCol w:w="5680"/>
        <w:gridCol w:w="3680"/>
      </w:tblGrid>
      <w:tr>
        <w:trPr>
          <w:cantSplit/>
          <w:tblHeader/>
        </w:trPr>
        <w:tc>
          <w:tcPr>
            <w:tcW w:type="dxa" w:w="5680"/>
            <w:tcMar>
              <w:top w:w="80" w:type="dxa"/>
              <w:bottom w:w="80" w:type="dxa"/>
              <w:start w:w="120" w:type="dxa"/>
              <w:end w:w="120" w:type="dxa"/>
            </w:tcMar>
            <w:vAlign w:val="center"/>
            <w:shd w:fill="F4F6F9"/>
          </w:tcPr>
          <w:p>
            <w:pPr>
              <w:pStyle w:val="TableHead"/>
            </w:pPr>
            <w:r>
              <w:rPr>
                <w:rFonts w:ascii="Noto Sans CJK SC" w:hAnsi="Noto Sans CJK SC" w:eastAsia="Noto Sans CJK SC"/>
              </w:rPr>
              <w:t>已提供PDF中的要求</w:t>
            </w:r>
          </w:p>
        </w:tc>
        <w:tc>
          <w:tcPr>
            <w:tcW w:type="dxa" w:w="3680"/>
            <w:tcMar>
              <w:top w:w="80" w:type="dxa"/>
              <w:bottom w:w="80" w:type="dxa"/>
              <w:start w:w="120" w:type="dxa"/>
              <w:end w:w="120" w:type="dxa"/>
            </w:tcMar>
            <w:vAlign w:val="center"/>
            <w:shd w:fill="F4F6F9"/>
          </w:tcPr>
          <w:p>
            <w:pPr>
              <w:pStyle w:val="TableHead"/>
            </w:pPr>
            <w:r>
              <w:rPr>
                <w:rFonts w:ascii="Noto Sans CJK SC" w:hAnsi="Noto Sans CJK SC" w:eastAsia="Noto Sans CJK SC"/>
              </w:rPr>
              <w:t>本提案中的位置</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标题、Canvas组、成员／学号、汇报日期[2，第2页]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封面；缺失的个人信息仍需补充。</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引言与项目目标[2，第3页]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执行摘要；第2节。</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背景与市场环境[2，第4页]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第1节。</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文献综述／市场研究[2，第5页]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第1节；参考文献；第7节研究扩展。</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范围与局限[2，第6页]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第2节；第9节。</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数据来源、访问与准备[2，第7页]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第5节，包括数据访问检查节点。</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设计与算法选择[2，第8页]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第3—4节；架构图。</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实现／已有结果[2，第9—10页]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第9节说明提案状态；第6节规定后续评估。</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挑战、未来工作与贡献[2，第11—13页]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第1节及第7—9节。</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补充材料／AI使用说明[2，第14页]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本附录及参考文献。</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至少三类技术[1，第6页]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第3节：数据挖掘、认知系统、决策自动化。</w:t>
            </w:r>
          </w:p>
        </w:tc>
      </w:tr>
      <w:tr>
        <w:trPr>
          <w:cantSplit/>
        </w:trPr>
        <w:tc>
          <w:tcPr>
            <w:tcW w:type="dxa" w:w="5680"/>
            <w:tcMar>
              <w:top w:w="80" w:type="dxa"/>
              <w:bottom w:w="80" w:type="dxa"/>
              <w:start w:w="120" w:type="dxa"/>
              <w:end w:w="120" w:type="dxa"/>
            </w:tcMar>
            <w:vAlign w:val="center"/>
          </w:tcPr>
          <w:p>
            <w:pPr>
              <w:pStyle w:val="TableBody"/>
            </w:pPr>
            <w:r>
              <w:rPr>
                <w:rFonts w:ascii="Noto Sans CJK SC" w:hAnsi="Noto Sans CJK SC" w:eastAsia="Noto Sans CJK SC"/>
              </w:rPr>
              <w:t>最终输出与截止日期[1，第9—14页]</w:t>
            </w:r>
          </w:p>
        </w:tc>
        <w:tc>
          <w:tcPr>
            <w:tcW w:type="dxa" w:w="3680"/>
            <w:tcMar>
              <w:top w:w="80" w:type="dxa"/>
              <w:bottom w:w="80" w:type="dxa"/>
              <w:start w:w="120" w:type="dxa"/>
              <w:end w:w="120" w:type="dxa"/>
            </w:tcMar>
            <w:vAlign w:val="center"/>
          </w:tcPr>
          <w:p>
            <w:pPr>
              <w:pStyle w:val="TableBody"/>
            </w:pPr>
            <w:r>
              <w:rPr>
                <w:rFonts w:ascii="Noto Sans CJK SC" w:hAnsi="Noto Sans CJK SC" w:eastAsia="Noto Sans CJK SC"/>
              </w:rPr>
              <w:t>第8—9节。</w:t>
            </w:r>
          </w:p>
        </w:tc>
      </w:tr>
    </w:tbl>
    <w:p>
      <w:pPr>
        <w:pStyle w:val="Small"/>
        <w:spacing w:after="20"/>
      </w:pPr>
    </w:p>
    <w:p>
      <w:pPr>
        <w:pStyle w:val="Heading2"/>
      </w:pPr>
      <w:r>
        <w:rPr>
          <w:rFonts w:ascii="Noto Sans CJK SC" w:hAnsi="Noto Sans CJK SC" w:eastAsia="Noto Sans CJK SC"/>
        </w:rPr>
        <w:t>AI辅助与归属说明</w:t>
      </w:r>
    </w:p>
    <w:p>
      <w:pPr>
        <w:jc w:val="both"/>
      </w:pPr>
      <w:r>
        <w:rPr>
          <w:rFonts w:ascii="Noto Sans CJK SC" w:hAnsi="Noto Sans CJK SC" w:eastAsia="Noto Sans CJK SC"/>
        </w:rPr>
        <w:t>生成式AI协助完成了本提案的起草、翻译和资料来源查找。团队必须核对最终内容、参考文献和所声称的实现工作，并对提交内容承担责任。本文未提供虚构的测量结果。今后若使用AI生成代码或合成数据，将记录提示词、模型标识和人工验证步骤。汇报讲解将由团队成员录制。</w:t>
      </w:r>
    </w:p>
    <w:p>
      <w:pPr>
        <w:pStyle w:val="Small"/>
      </w:pPr>
      <w:r>
        <w:rPr>
          <w:rFonts w:ascii="Noto Sans CJK SC" w:hAnsi="Noto Sans CJK SC" w:eastAsia="Noto Sans CJK SC"/>
        </w:rPr>
        <w:t>致谢：本提案结构参考了已提供的NUS-ISS课程说明和指南。目前没有已确认的外部顾问、赞助方、数据提供方或行业审核人员。</w:t>
      </w:r>
    </w:p>
    <w:p>
      <w:pPr>
        <w:pStyle w:val="Heading1"/>
        <w:pageBreakBefore/>
        <w:spacing w:before="0"/>
      </w:pPr>
      <w:r>
        <w:rPr>
          <w:rFonts w:ascii="Noto Sans CJK SC" w:hAnsi="Noto Sans CJK SC" w:eastAsia="Noto Sans CJK SC"/>
        </w:rPr>
        <w:t>参考文献</w:t>
      </w:r>
    </w:p>
    <w:p>
      <w:pPr>
        <w:pStyle w:val="Small"/>
      </w:pPr>
      <w:r>
        <w:rPr>
          <w:rFonts w:ascii="Noto Sans CJK SC" w:hAnsi="Noto Sans CJK SC" w:eastAsia="Noto Sans CJK SC"/>
        </w:rPr>
        <w:t>网络来源核查日期为2026年9月7日。商业功能说明属于供应商声明。本文引用的课程要求以已提供PDF为准，后续教师或Canvas通知可能对其进行更新。</w:t>
      </w:r>
    </w:p>
    <w:p>
      <w:pPr>
        <w:pStyle w:val="Reference"/>
      </w:pPr>
      <w:r>
        <w:rPr>
          <w:rFonts w:ascii="Noto Sans CJK SC" w:hAnsi="Noto Sans CJK SC" w:eastAsia="Noto Sans CJK SC"/>
        </w:rPr>
        <w:t>[1] NUS-ISS：《IRS实践模块与考试说明v2.17》。用户提供PDF，共30页。相关页：第6页（技术类别、团队与工作量）；第9—13页（交付物与考核）；第14页（截止日期）。</w:t>
      </w:r>
    </w:p>
    <w:p>
      <w:pPr>
        <w:pStyle w:val="Reference"/>
      </w:pPr>
      <w:r>
        <w:rPr>
          <w:rFonts w:ascii="Noto Sans CJK SC" w:hAnsi="Noto Sans CJK SC" w:eastAsia="Noto Sans CJK SC"/>
        </w:rPr>
        <w:t>[2] NUS-ISS：《IRS实践模块项目提案与最终汇报指南v016》。用户提供PDF，共15页。相关页：第2—8页（提案内容与设计）；第9—14页（进展、最终汇报与补充材料）。</w:t>
      </w:r>
    </w:p>
    <w:p>
      <w:pPr>
        <w:pStyle w:val="Reference"/>
      </w:pPr>
      <w:r>
        <w:rPr>
          <w:rFonts w:ascii="Noto Sans CJK SC" w:hAnsi="Noto Sans CJK SC" w:eastAsia="Noto Sans CJK SC"/>
        </w:rPr>
        <w:t>[3] Document Crunch：AI for Construction Project Bid Pursuit（面向建筑项目投标的AI）。产品页面：https://www.documentcrunch.com/construction-bid-pursuit</w:t>
      </w:r>
    </w:p>
    <w:p>
      <w:pPr>
        <w:pStyle w:val="Reference"/>
      </w:pPr>
      <w:r>
        <w:rPr>
          <w:rFonts w:ascii="Noto Sans CJK SC" w:hAnsi="Noto Sans CJK SC" w:eastAsia="Noto Sans CJK SC"/>
        </w:rPr>
        <w:t>[4] Provision：Risk Review: AI Contract &amp; Spec Review（AI合同与技术规范审查）。产品页面：https://provision.com/risk-review</w:t>
      </w:r>
    </w:p>
    <w:p>
      <w:pPr>
        <w:pStyle w:val="Reference"/>
      </w:pPr>
      <w:r>
        <w:rPr>
          <w:rFonts w:ascii="Noto Sans CJK SC" w:hAnsi="Noto Sans CJK SC" w:eastAsia="Noto Sans CJK SC"/>
        </w:rPr>
        <w:t>[5] Wong, S., Zheng, C., Su, X., and Tang, Y.（2023）：Construction contract risk identification based on knowledge-augmented language model（基于知识增强语言模型的施工合同风险识别）。arXiv:2309.12626。https://arxiv.org/abs/2309.12626</w:t>
      </w:r>
    </w:p>
    <w:p>
      <w:pPr>
        <w:pStyle w:val="Reference"/>
      </w:pPr>
      <w:r>
        <w:rPr>
          <w:rFonts w:ascii="Noto Sans CJK SC" w:hAnsi="Noto Sans CJK SC" w:eastAsia="Noto Sans CJK SC"/>
        </w:rPr>
        <w:t>[6] Koreeda, Y., and Manning, C. D.（2021）：ContractNLI: A Dataset for Document-level Natural Language Inference for Contracts（合同文档级自然语言推理数据集）。Findings of EMNLP。官方数据集：https://stanfordnlp.github.io/contract-nli/ 。发布的数据集标注为CC BY 4.0；使用时须遵循其条款与署名要求。</w:t>
      </w:r>
    </w:p>
    <w:p>
      <w:pPr>
        <w:pStyle w:val="Reference"/>
      </w:pPr>
      <w:r>
        <w:rPr>
          <w:rFonts w:ascii="Noto Sans CJK SC" w:hAnsi="Noto Sans CJK SC" w:eastAsia="Noto Sans CJK SC"/>
        </w:rPr>
        <w:t>[7] The Atticus Project：Contract Understanding Atticus Dataset（CUAD，合同理解数据集）。官方说明：https://www.atticusprojectai.org/cuad/ 。该页面说明数据集包含510份商业合同、41类条款，并采用CC BY 4.0许可；使用时须保留数据集署名。</w:t>
      </w:r>
    </w:p>
    <w:p>
      <w:pPr>
        <w:pStyle w:val="Reference"/>
      </w:pPr>
      <w:r>
        <w:rPr>
          <w:rFonts w:ascii="Noto Sans CJK SC" w:hAnsi="Noto Sans CJK SC" w:eastAsia="Noto Sans CJK SC"/>
        </w:rPr>
        <w:t>[8] Croce, D., Castellucci, G., and Basili, R.（2020）：GAN-BERT: Generative Adversarial Learning for Robust Text Classification with a Bunch of Labeled Examples（利用少量标注样本进行鲁棒文本分类的生成对抗学习）。ACL，第2114—2119页。https://aclanthology.org/2020.acl-main.191/</w:t>
      </w:r>
    </w:p>
    <w:p>
      <w:pPr>
        <w:pStyle w:val="Reference"/>
      </w:pPr>
      <w:r>
        <w:rPr>
          <w:rFonts w:ascii="Noto Sans CJK SC" w:hAnsi="Noto Sans CJK SC" w:eastAsia="Noto Sans CJK SC"/>
        </w:rPr>
        <w:t>[9] GeBIZ：常见问题，Responding to Tenders（响应招标）第16问：附件访问与预定用途。https://www.gebiz.gov.sg/faq.html</w:t>
      </w:r>
    </w:p>
    <w:p>
      <w:pPr>
        <w:pStyle w:val="Small"/>
      </w:pPr>
      <w:r>
        <w:rPr>
          <w:rFonts w:ascii="Noto Sans CJK SC" w:hAnsi="Noto Sans CJK SC" w:eastAsia="Noto Sans CJK SC"/>
        </w:rPr>
        <w:t>文献[1]规定的课程代码仓库模板：</w:t>
      </w:r>
    </w:p>
    <w:p>
      <w:pPr>
        <w:pStyle w:val="Reference"/>
      </w:pPr>
      <w:r>
        <w:t>https://github.com/IRS-PM/Workshop-Project-Submission-Template</w:t>
      </w:r>
    </w:p>
    <w:p>
      <w:pPr>
        <w:pStyle w:val="Heading1"/>
        <w:pageBreakBefore/>
        <w:spacing w:before="0"/>
      </w:pPr>
      <w:r>
        <w:t>附录 B：中文要点与提交前待补信息</w:t>
      </w:r>
    </w:p>
    <w:p>
      <w:pPr>
        <w:pStyle w:val="ChineseBody"/>
      </w:pPr>
      <w:r>
        <w:rPr>
          <w:rFonts w:ascii="Noto Sans CJK SC" w:hAnsi="Noto Sans CJK SC" w:eastAsia="Noto Sans CJK SC"/>
        </w:rPr>
        <w:t>本附录汇总项目要点和提交前待补信息，便于小组讨论。项目正式范围、实验设计和限制以正文为准。</w:t>
      </w:r>
    </w:p>
    <w:p>
      <w:pPr>
        <w:pStyle w:val="ChineseBody"/>
      </w:pPr>
      <w:r>
        <w:rPr>
          <w:b/>
        </w:rPr>
        <w:t xml:space="preserve">项目做什么： </w:t>
      </w:r>
      <w:r>
        <w:t>面向乙方承包商的投标团队，上传招标文件、适用补遗和自己的投标草稿，系统提取要求、寻找响应证据，并输出带文件与页码的审查表。重点检查必交材料、日期与工期，以及口径明确的技术参数。</w:t>
      </w:r>
    </w:p>
    <w:p>
      <w:pPr>
        <w:pStyle w:val="ChineseBody"/>
      </w:pPr>
      <w:r>
        <w:rPr>
          <w:b/>
        </w:rPr>
        <w:t xml:space="preserve">为什么可能有商业价值： </w:t>
      </w:r>
      <w:r>
        <w:t>希望减少人工逐条核查时间，帮助发现遗漏和矛盾。收费方式暂设为按项目或订阅，属于待验证的商业假设；目前没有已确认客户、收益或节省工时数据。</w:t>
      </w:r>
    </w:p>
    <w:p>
      <w:pPr>
        <w:pStyle w:val="ChineseBody"/>
      </w:pPr>
      <w:r>
        <w:rPr>
          <w:b/>
        </w:rPr>
        <w:t xml:space="preserve">怎样满足课程要求： </w:t>
      </w:r>
      <w:r>
        <w:t>正文第 3 节对应三类技术：训练条款分类器体现知识发现与数据挖掘；检索、自然语言交互和结构化知识表示体现认知系统；约束比较与人工转交规则体现决策自动化。最终报告还需对应 MR、RS、CGS 的实际课程技能。</w:t>
      </w:r>
    </w:p>
    <w:p>
      <w:pPr>
        <w:pStyle w:val="ChineseBody"/>
      </w:pPr>
      <w:r>
        <w:rPr>
          <w:b/>
        </w:rPr>
        <w:t xml:space="preserve">自己训练什么： </w:t>
      </w:r>
      <w:r>
        <w:t>核心计划训练规模较小的条款分类模型，比较 TF-IDF 加逻辑回归与预训练句向量加分类器。大模型负责抽取、理解与表达，通过现成模型推理使用，不从零训练大模型。RAG 的文件索引不等于监督训练集。</w:t>
      </w:r>
    </w:p>
    <w:p>
      <w:pPr>
        <w:pStyle w:val="ChineseBody"/>
      </w:pPr>
      <w:r>
        <w:rPr>
          <w:b/>
        </w:rPr>
        <w:t xml:space="preserve">对抗网络怎样放进去： </w:t>
      </w:r>
      <w:r>
        <w:t>先做“生成困难样本、人工核对、训练专项审查器”的增强实验，比较同一个模型在无增强、普通增强、困难样本增强下的效果。这不自动等于 GAN。GAN-BERT 仅作为进一步扩展；若 10 月 4 日条件不足，就保留压力测试并优先完成主系统。</w:t>
      </w:r>
    </w:p>
    <w:p>
      <w:pPr>
        <w:pStyle w:val="ChineseBody"/>
      </w:pPr>
      <w:r>
        <w:rPr>
          <w:b/>
        </w:rPr>
        <w:t xml:space="preserve">训练集从哪里来： </w:t>
      </w:r>
      <w:r>
        <w:t>优先争取有使用许可的工程招投标材料，规划 600-1,000 条标注条款与 250-400 对要求和响应。CUAD、ContractNLI 可以帮助搭建方法，但不能冒充工程数据。9 月 20 日检查数据是否足够；若不足，缩小场景并如实说明。</w:t>
      </w:r>
    </w:p>
    <w:p>
      <w:pPr>
        <w:pStyle w:val="ChineseBody"/>
      </w:pPr>
      <w:r>
        <w:rPr>
          <w:b/>
        </w:rPr>
        <w:t xml:space="preserve">怎样证明有效： </w:t>
      </w:r>
      <w:r>
        <w:t>按项目划分训练、验证和测试数据，比较基线与混合系统，报告漏检、误报、证据检索、引用质量、人工复核时间与成本。所有性能数字目前都是目标。未找到证据不等于已证明缺失；系统不能替代最终人工审核。</w:t>
      </w:r>
    </w:p>
    <w:p>
      <w:pPr>
        <w:pStyle w:val="ChineseBody"/>
      </w:pPr>
      <w:r>
        <w:rPr>
          <w:b/>
        </w:rPr>
        <w:t xml:space="preserve">提交前待补： </w:t>
      </w:r>
      <w:r>
        <w:t>Canvas 组号与组名、组长、全体成员官方姓名和学号、实际汇报日期、数据使用许可、工作分配及是否使用付费模型。请确认 Canvas 最新日期与时区。</w:t>
      </w:r>
    </w:p>
    <w:p>
      <w:pPr>
        <w:pStyle w:val="ChineseBody"/>
      </w:pPr>
      <w:r>
        <w:rPr>
          <w:b/>
        </w:rPr>
        <w:t xml:space="preserve">PDF 中的时间要求： </w:t>
      </w:r>
      <w:r>
        <w:t>Proposal 截止为 2026 年 9 月 13 日 23:59；提案汇报在随后一周，具体待通知；最终项目与个人互评截止为 2026 年 10 月 25 日 23:59。最终需两个各 5 分钟的视频，演示语音不得由 AI 生成。</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提案 v0.1  |  </w:t>
    </w:r>
    <w:r/>
    <w:fldSimple w:instr="PAGE"/>
    <w:r>
      <w:t xml:space="preserve"> / </w:t>
    </w: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SC" w:hAnsi="Noto Sans CJK SC" w:eastAsia="Noto Sans CJK SC"/>
      </w:rPr>
      <w:t>TENDERCHECK  |  IRS 实践模块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0">
    <w:multiLevelType w:val="singleLevel"/>
    <w:lvl w:ilvl="0">
      <w:start w:val="1"/>
      <w:numFmt w:val="bullet"/>
      <w:lvlText w:val="•"/>
      <w:lvlJc w:val="left"/>
      <w:pPr>
        <w:tabs>
          <w:tab w:val="num" w:pos="540"/>
        </w:tabs>
        <w:ind w:left="540" w:hanging="280"/>
        <w:spacing w:before="0" w:after="80" w:line="290" w:lineRule="auto"/>
      </w:pPr>
    </w:lvl>
  </w:abstractNum>
  <w:num w:numId="50">
    <w:abstractNumId w:val="50"/>
  </w:num>
  <w:abstractNum w:abstractNumId="51">
    <w:multiLevelType w:val="singleLevel"/>
    <w:lvl w:ilvl="0">
      <w:start w:val="1"/>
      <w:numFmt w:val="decimal"/>
      <w:lvlText w:val="%1."/>
      <w:lvlJc w:val="left"/>
      <w:pPr>
        <w:tabs>
          <w:tab w:val="num" w:pos="540"/>
        </w:tabs>
        <w:ind w:left="540" w:hanging="280"/>
        <w:spacing w:before="0" w:after="80" w:line="290" w:lineRule="auto"/>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80" w:line="259" w:lineRule="auto"/>
      <w:jc w:val="both"/>
    </w:pPr>
    <w:rPr>
      <w:rFonts w:ascii="Noto Sans CJK SC" w:hAnsi="Noto Sans CJK SC" w:eastAsia="Noto Sans CJK SC"/>
      <w:b w:val="0"/>
      <w:i w:val="0"/>
      <w:color w:val="25313C"/>
      <w:sz w:val="19"/>
    </w:rPr>
  </w:style>
  <w:style w:type="paragraph" w:styleId="Header">
    <w:name w:val="header"/>
    <w:basedOn w:val="Normal"/>
    <w:link w:val="HeaderChar"/>
    <w:uiPriority w:val="99"/>
    <w:unhideWhenUsed/>
    <w:rsid w:val="00E618BF"/>
    <w:pPr>
      <w:keepNext w:val="0"/>
      <w:widowControl/>
      <w:tabs>
        <w:tab w:val="center" w:pos="4680"/>
        <w:tab w:val="right" w:pos="9360"/>
      </w:tabs>
      <w:spacing w:after="0" w:line="240" w:lineRule="auto" w:before="0"/>
      <w:jc w:val="left"/>
    </w:pPr>
    <w:rPr>
      <w:rFonts w:ascii="Noto Sans CJK SC" w:hAnsi="Noto Sans CJK SC" w:eastAsia="Noto Sans CJK SC"/>
      <w:b w:val="0"/>
      <w:i w:val="0"/>
      <w:color w:val="65717D"/>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keepNext w:val="0"/>
      <w:widowControl/>
      <w:tabs>
        <w:tab w:val="center" w:pos="4680"/>
        <w:tab w:val="right" w:pos="9360"/>
      </w:tabs>
      <w:spacing w:after="0" w:line="240" w:lineRule="auto" w:before="0"/>
      <w:jc w:val="right"/>
    </w:pPr>
    <w:rPr>
      <w:rFonts w:ascii="Noto Sans CJK SC" w:hAnsi="Noto Sans CJK SC" w:eastAsia="Noto Sans CJK SC"/>
      <w:b w:val="0"/>
      <w:i w:val="0"/>
      <w:color w:val="65717D"/>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120" w:line="264" w:lineRule="auto"/>
      <w:jc w:val="left"/>
      <w:outlineLvl w:val="0"/>
    </w:pPr>
    <w:rPr>
      <w:rFonts w:asciiTheme="majorHAnsi" w:eastAsiaTheme="majorEastAsia" w:hAnsiTheme="majorHAnsi" w:cstheme="majorBidi" w:ascii="Noto Sans CJK SC" w:hAnsi="Noto Sans CJK SC" w:eastAsia="Noto Sans CJK SC"/>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widowControl/>
      <w:spacing w:before="120" w:after="80" w:line="264" w:lineRule="auto"/>
      <w:jc w:val="left"/>
      <w:outlineLvl w:val="1"/>
    </w:pPr>
    <w:rPr>
      <w:rFonts w:asciiTheme="majorHAnsi" w:eastAsiaTheme="majorEastAsia" w:hAnsiTheme="majorHAnsi" w:cstheme="majorBidi" w:ascii="Noto Sans CJK SC" w:hAnsi="Noto Sans CJK SC" w:eastAsia="Noto Sans CJK SC"/>
      <w:b/>
      <w:bCs/>
      <w:i w:val="0"/>
      <w:color w:val="2E74B5"/>
      <w:sz w:val="23"/>
      <w:szCs w:val="26"/>
    </w:rPr>
  </w:style>
  <w:style w:type="paragraph" w:styleId="Heading3">
    <w:name w:val="heading 3"/>
    <w:basedOn w:val="Normal"/>
    <w:next w:val="Normal"/>
    <w:link w:val="Heading3Char"/>
    <w:uiPriority w:val="9"/>
    <w:unhideWhenUsed/>
    <w:qFormat/>
    <w:rsid w:val="00FC693F"/>
    <w:pPr>
      <w:keepNext/>
      <w:keepLines/>
      <w:widowControl/>
      <w:spacing w:before="100" w:after="60" w:line="264" w:lineRule="auto"/>
      <w:jc w:val="left"/>
      <w:outlineLvl w:val="2"/>
    </w:pPr>
    <w:rPr>
      <w:rFonts w:asciiTheme="majorHAnsi" w:eastAsiaTheme="majorEastAsia" w:hAnsiTheme="majorHAnsi" w:cstheme="majorBidi" w:ascii="Noto Sans CJK SC" w:hAnsi="Noto Sans CJK SC" w:eastAsia="Noto Sans CJK SC"/>
      <w:b/>
      <w:bCs/>
      <w:i w:val="0"/>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SC" w:hAnsi="Noto Sans CJK SC" w:eastAsia="Noto Sans CJK S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SC" w:hAnsi="Noto Sans CJK SC" w:eastAsia="Noto Sans CJK S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SC" w:hAnsi="Noto Sans CJK SC" w:eastAsia="Noto Sans CJK S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SC" w:hAnsi="Noto Sans CJK SC" w:eastAsia="Noto Sans CJK S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SC" w:hAnsi="Noto Sans CJK SC" w:eastAsia="Noto Sans CJK S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SC" w:hAnsi="Noto Sans CJK SC" w:eastAsia="Noto Sans CJK S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SC" w:hAnsi="Noto Sans CJK SC" w:eastAsia="Noto Sans CJK SC"/>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64" w:lineRule="auto" w:before="0"/>
      <w:contextualSpacing/>
      <w:jc w:val="center"/>
    </w:pPr>
    <w:rPr>
      <w:rFonts w:asciiTheme="majorHAnsi" w:eastAsiaTheme="majorEastAsia" w:hAnsiTheme="majorHAnsi" w:cstheme="majorBidi" w:ascii="Noto Sans CJK SC" w:hAnsi="Noto Sans CJK SC" w:eastAsia="Noto Sans CJK SC"/>
      <w:b/>
      <w:i w:val="0"/>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240" w:line="280" w:lineRule="auto"/>
      <w:jc w:val="center"/>
    </w:pPr>
    <w:rPr>
      <w:rFonts w:asciiTheme="majorHAnsi" w:eastAsiaTheme="majorEastAsia" w:hAnsiTheme="majorHAnsi" w:cstheme="majorBidi" w:ascii="Noto Sans CJK SC" w:hAnsi="Noto Sans CJK SC" w:eastAsia="Noto Sans CJK SC"/>
      <w:b w:val="0"/>
      <w:i w:val="0"/>
      <w:iCs/>
      <w:color w:val="65717D"/>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SC" w:hAnsi="Noto Sans CJK SC" w:eastAsia="Noto Sans CJK SC"/>
    </w:r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Noto Sans CJK SC" w:hAnsi="Noto Sans CJK SC" w:eastAsia="Noto Sans CJK SC"/>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Noto Sans CJK SC" w:hAnsi="Noto Sans CJK SC" w:eastAsia="Noto Sans CJK SC"/>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Noto Sans CJK SC" w:hAnsi="Noto Sans CJK SC" w:eastAsia="Noto Sans CJK SC"/>
    </w:rPr>
  </w:style>
  <w:style w:type="paragraph" w:styleId="List2">
    <w:name w:val="List 2"/>
    <w:basedOn w:val="Normal"/>
    <w:uiPriority w:val="99"/>
    <w:unhideWhenUsed/>
    <w:rsid w:val="00326F90"/>
    <w:pPr>
      <w:ind w:left="720" w:hanging="360"/>
      <w:contextualSpacing/>
    </w:pPr>
    <w:rPr>
      <w:rFonts w:ascii="Noto Sans CJK SC" w:hAnsi="Noto Sans CJK SC" w:eastAsia="Noto Sans CJK SC"/>
    </w:rPr>
  </w:style>
  <w:style w:type="paragraph" w:styleId="List3">
    <w:name w:val="List 3"/>
    <w:basedOn w:val="Normal"/>
    <w:uiPriority w:val="99"/>
    <w:unhideWhenUsed/>
    <w:rsid w:val="00326F90"/>
    <w:pPr>
      <w:ind w:left="1080" w:hanging="360"/>
      <w:contextualSpacing/>
    </w:pPr>
    <w:rPr>
      <w:rFonts w:ascii="Noto Sans CJK SC" w:hAnsi="Noto Sans CJK SC" w:eastAsia="Noto Sans CJK SC"/>
    </w:r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rPr>
  </w:style>
  <w:style w:type="paragraph" w:styleId="ListBullet3">
    <w:name w:val="List Bullet 3"/>
    <w:basedOn w:val="Normal"/>
    <w:uiPriority w:val="99"/>
    <w:unhideWhenUsed/>
    <w:rsid w:val="00326F90"/>
    <w:pPr>
      <w:numPr>
        <w:numId w:val="3"/>
      </w:numPr>
      <w:contextualSpacing/>
    </w:pPr>
    <w:rPr>
      <w:rFonts w:ascii="Noto Sans CJK SC" w:hAnsi="Noto Sans CJK SC" w:eastAsia="Noto Sans CJK SC"/>
    </w:r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rPr>
  </w:style>
  <w:style w:type="paragraph" w:styleId="ListNumber2">
    <w:name w:val="List Number 2"/>
    <w:basedOn w:val="Normal"/>
    <w:uiPriority w:val="99"/>
    <w:unhideWhenUsed/>
    <w:rsid w:val="0029639D"/>
    <w:pPr>
      <w:numPr>
        <w:numId w:val="6"/>
      </w:numPr>
      <w:contextualSpacing/>
    </w:pPr>
    <w:rPr>
      <w:rFonts w:ascii="Noto Sans CJK SC" w:hAnsi="Noto Sans CJK SC" w:eastAsia="Noto Sans CJK SC"/>
    </w:rPr>
  </w:style>
  <w:style w:type="paragraph" w:styleId="ListNumber3">
    <w:name w:val="List Number 3"/>
    <w:basedOn w:val="Normal"/>
    <w:uiPriority w:val="99"/>
    <w:unhideWhenUsed/>
    <w:rsid w:val="0029639D"/>
    <w:pPr>
      <w:numPr>
        <w:numId w:val="7"/>
      </w:numPr>
      <w:contextualSpacing/>
    </w:pPr>
    <w:rPr>
      <w:rFonts w:ascii="Noto Sans CJK SC" w:hAnsi="Noto Sans CJK SC" w:eastAsia="Noto Sans CJK SC"/>
    </w:rPr>
  </w:style>
  <w:style w:type="paragraph" w:styleId="ListContinue">
    <w:name w:val="List Continue"/>
    <w:basedOn w:val="Normal"/>
    <w:uiPriority w:val="99"/>
    <w:unhideWhenUsed/>
    <w:rsid w:val="0029639D"/>
    <w:pPr>
      <w:spacing w:after="120"/>
      <w:ind w:left="360"/>
      <w:contextualSpacing/>
    </w:pPr>
    <w:rPr>
      <w:rFonts w:ascii="Noto Sans CJK SC" w:hAnsi="Noto Sans CJK SC" w:eastAsia="Noto Sans CJK SC"/>
    </w:rPr>
  </w:style>
  <w:style w:type="paragraph" w:styleId="ListContinue2">
    <w:name w:val="List Continue 2"/>
    <w:basedOn w:val="Normal"/>
    <w:uiPriority w:val="99"/>
    <w:unhideWhenUsed/>
    <w:rsid w:val="0029639D"/>
    <w:pPr>
      <w:spacing w:after="120"/>
      <w:ind w:left="720"/>
      <w:contextualSpacing/>
    </w:pPr>
    <w:rPr>
      <w:rFonts w:ascii="Noto Sans CJK SC" w:hAnsi="Noto Sans CJK SC" w:eastAsia="Noto Sans CJK SC"/>
    </w:rPr>
  </w:style>
  <w:style w:type="paragraph" w:styleId="ListContinue3">
    <w:name w:val="List Continue 3"/>
    <w:basedOn w:val="Normal"/>
    <w:uiPriority w:val="99"/>
    <w:unhideWhenUsed/>
    <w:rsid w:val="0029639D"/>
    <w:pPr>
      <w:spacing w:after="120"/>
      <w:ind w:left="1080"/>
      <w:contextualSpacing/>
    </w:pPr>
    <w:rPr>
      <w:rFonts w:ascii="Noto Sans CJK SC" w:hAnsi="Noto Sans CJK SC" w:eastAsia="Noto Sans CJK SC"/>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SC" w:hAnsi="Noto Sans CJK SC" w:eastAsia="Noto Sans CJK SC"/>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SC" w:hAnsi="Noto Sans CJK SC" w:eastAsia="Noto Sans CJK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SC" w:hAnsi="Noto Sans CJK SC" w:eastAsia="Noto Sans CJK SC"/>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SC" w:hAnsi="Noto Sans CJK SC" w:eastAsia="Noto Sans CJK SC"/>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keepNext w:val="0"/>
      <w:widowControl/>
      <w:spacing w:before="0" w:after="60" w:line="245" w:lineRule="auto"/>
      <w:jc w:val="left"/>
    </w:pPr>
    <w:rPr>
      <w:rFonts w:ascii="Noto Sans CJK SC" w:hAnsi="Noto Sans CJK SC" w:eastAsia="Noto Sans CJK SC"/>
      <w:b w:val="0"/>
      <w:i w:val="0"/>
      <w:color w:val="65717D"/>
      <w:sz w:val="16"/>
    </w:rPr>
  </w:style>
  <w:style w:type="paragraph" w:customStyle="1" w:styleId="Meta">
    <w:name w:val="Meta"/>
    <w:pPr>
      <w:keepNext w:val="0"/>
      <w:widowControl/>
      <w:spacing w:before="0" w:after="60" w:line="252" w:lineRule="auto"/>
      <w:jc w:val="center"/>
    </w:pPr>
    <w:rPr>
      <w:rFonts w:ascii="Noto Sans CJK SC" w:hAnsi="Noto Sans CJK SC" w:eastAsia="Noto Sans CJK SC"/>
      <w:b w:val="0"/>
      <w:i w:val="0"/>
      <w:color w:val="25313C"/>
      <w:sz w:val="18"/>
    </w:rPr>
  </w:style>
  <w:style w:type="paragraph" w:customStyle="1" w:styleId="TableBody">
    <w:name w:val="TableBody"/>
    <w:pPr>
      <w:keepNext w:val="0"/>
      <w:widowControl/>
      <w:spacing w:before="0" w:after="0" w:line="240" w:lineRule="auto"/>
      <w:jc w:val="left"/>
    </w:pPr>
    <w:rPr>
      <w:rFonts w:ascii="Noto Sans CJK SC" w:hAnsi="Noto Sans CJK SC" w:eastAsia="Noto Sans CJK SC"/>
      <w:b w:val="0"/>
      <w:i w:val="0"/>
      <w:color w:val="25313C"/>
      <w:sz w:val="16"/>
    </w:rPr>
  </w:style>
  <w:style w:type="paragraph" w:customStyle="1" w:styleId="TableHead">
    <w:name w:val="TableHead"/>
    <w:pPr>
      <w:keepNext w:val="0"/>
      <w:widowControl/>
      <w:spacing w:before="0" w:after="0" w:line="240" w:lineRule="auto"/>
      <w:jc w:val="left"/>
    </w:pPr>
    <w:rPr>
      <w:rFonts w:ascii="Noto Sans CJK SC" w:hAnsi="Noto Sans CJK SC" w:eastAsia="Noto Sans CJK SC"/>
      <w:b/>
      <w:i w:val="0"/>
      <w:color w:val="0B2545"/>
      <w:sz w:val="16"/>
    </w:rPr>
  </w:style>
  <w:style w:type="paragraph" w:customStyle="1" w:styleId="Reference">
    <w:name w:val="Reference"/>
    <w:pPr>
      <w:keepNext w:val="0"/>
      <w:widowControl/>
      <w:spacing w:before="0" w:after="100" w:line="245" w:lineRule="auto"/>
      <w:jc w:val="left"/>
    </w:pPr>
    <w:rPr>
      <w:rFonts w:ascii="Noto Sans CJK SC" w:hAnsi="Noto Sans CJK SC" w:eastAsia="Noto Sans CJK SC"/>
      <w:b w:val="0"/>
      <w:i w:val="0"/>
      <w:color w:val="25313C"/>
      <w:sz w:val="16"/>
    </w:rPr>
  </w:style>
  <w:style w:type="paragraph" w:customStyle="1" w:styleId="TableCitation">
    <w:name w:val="TableCitation"/>
    <w:pPr>
      <w:keepNext w:val="0"/>
      <w:widowControl/>
      <w:spacing w:before="80" w:after="60" w:line="245" w:lineRule="auto"/>
      <w:jc w:val="left"/>
    </w:pPr>
    <w:rPr>
      <w:rFonts w:ascii="Noto Sans CJK SC" w:hAnsi="Noto Sans CJK SC" w:eastAsia="Noto Sans CJK SC"/>
      <w:b w:val="0"/>
      <w:i w:val="0"/>
      <w:color w:val="65717D"/>
      <w:sz w:val="16"/>
    </w:rPr>
  </w:style>
  <w:style w:type="paragraph" w:customStyle="1" w:styleId="Callout">
    <w:name w:val="Callout"/>
    <w:pPr>
      <w:keepNext w:val="0"/>
      <w:widowControl/>
      <w:spacing w:before="80" w:after="100" w:line="252" w:lineRule="auto"/>
      <w:jc w:val="left"/>
    </w:pPr>
    <w:rPr>
      <w:rFonts w:ascii="Noto Sans CJK SC" w:hAnsi="Noto Sans CJK SC" w:eastAsia="Noto Sans CJK SC"/>
      <w:b w:val="0"/>
      <w:i w:val="0"/>
      <w:color w:val="1F4D78"/>
      <w:sz w:val="18"/>
    </w:rPr>
  </w:style>
  <w:style w:type="paragraph" w:customStyle="1" w:styleId="ChineseBody">
    <w:name w:val="ChineseBody"/>
    <w:pPr>
      <w:keepNext w:val="0"/>
      <w:widowControl/>
      <w:spacing w:before="0" w:after="80" w:line="259" w:lineRule="auto"/>
      <w:jc w:val="both"/>
    </w:pPr>
    <w:rPr>
      <w:rFonts w:ascii="Noto Sans CJK SC" w:hAnsi="Noto Sans CJK SC" w:eastAsia="Noto Sans CJK SC"/>
      <w:b w:val="0"/>
      <w:i w:val="0"/>
      <w:color w:val="25313C"/>
      <w:sz w:val="18"/>
    </w:rPr>
  </w:style>
  <w:style w:type="paragraph" w:customStyle="1" w:styleId="FigureCaption">
    <w:name w:val="FigureCaption"/>
    <w:pPr>
      <w:keepNext w:val="0"/>
      <w:widowControl/>
      <w:spacing w:before="80" w:after="80" w:line="240" w:lineRule="auto"/>
      <w:jc w:val="left"/>
    </w:pPr>
    <w:rPr>
      <w:rFonts w:ascii="Noto Sans CJK SC" w:hAnsi="Noto Sans CJK SC" w:eastAsia="Noto Sans CJK SC"/>
      <w:b w:val="0"/>
      <w:i w:val="0"/>
      <w:color w:val="65717D"/>
      <w:sz w:val="16"/>
    </w:rPr>
  </w:style>
  <w:style w:type="paragraph" w:customStyle="1" w:styleId="ProjectBullet">
    <w:name w:val="ProjectBullet"/>
    <w:pPr>
      <w:keepNext w:val="0"/>
      <w:widowControl/>
      <w:spacing w:before="0" w:after="40" w:line="259" w:lineRule="auto"/>
      <w:jc w:val="left"/>
    </w:pPr>
    <w:rPr>
      <w:rFonts w:ascii="Noto Sans CJK SC" w:hAnsi="Noto Sans CJK SC" w:eastAsia="Noto Sans CJK SC"/>
      <w:b w:val="0"/>
      <w:i w:val="0"/>
      <w:color w:val="25313C"/>
      <w:sz w:val="19"/>
    </w:rPr>
  </w:style>
  <w:style w:type="paragraph" w:customStyle="1" w:styleId="ProjectNumber">
    <w:name w:val="ProjectNumber"/>
    <w:pPr>
      <w:keepNext w:val="0"/>
      <w:widowControl/>
      <w:spacing w:before="0" w:after="40" w:line="259" w:lineRule="auto"/>
      <w:jc w:val="left"/>
    </w:pPr>
    <w:rPr>
      <w:rFonts w:ascii="Noto Sans CJK SC" w:hAnsi="Noto Sans CJK SC" w:eastAsia="Noto Sans CJK SC"/>
      <w:b w:val="0"/>
      <w:i w:val="0"/>
      <w:color w:val="25313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TenderCheck——IRS实践模块项目提案（中文版）</dc:title>
  <dc:subject>基于证据的工程投标合规审查助手</dc:subject>
  <dc:creator>Project team - to be completed</dc:creator>
  <cp:keywords>IRS, Practice Module, tender compliance, RAG, supervised learning, business rules</cp:keywords>
  <dc:description>中文翻译版。项目指标为计划目标；团队信息仍需补充。</dc:description>
  <cp:lastModifiedBy/>
  <cp:revision>1</cp:revision>
  <dcterms:created xsi:type="dcterms:W3CDTF">2013-12-23T23:15:00Z</dcterms:created>
  <dcterms:modified xsi:type="dcterms:W3CDTF">2013-12-23T23:15:00Z</dcterms:modified>
  <cp:category/>
</cp:coreProperties>
</file>