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 w:val="0"/>
          <w:color w:val="000000"/>
          <w:sz w:val="44"/>
        </w:rPr>
        <w:t>1 使用的工具与技术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本项目将真实交易整理为客户特征，再通过模型比较确定四项分析方案，最后集成到可上传数据、查看结果和导出名单的网页中。本部分介绍支撑这一流程的工具与技术。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1.1 项目背景与目标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电商运营需要了解客户的购买特点，判断谁更可能再次购买、谁具有较高消费潜力，以及适合向每位客户推荐哪些商品。项目围绕这些问题形成四项功能：</w:t>
      </w:r>
      <w:r>
        <w:rPr>
          <w:rFonts w:ascii="SimSun" w:hAnsi="SimSun" w:eastAsia="SimSun" w:cs="SimSun"/>
          <w:b/>
          <w:color w:val="000000"/>
          <w:sz w:val="22"/>
        </w:rPr>
        <w:t>客户分群、未来30天复购预测、消费潜力排序，以及购买习惯画像与商品推荐</w:t>
      </w:r>
      <w:r>
        <w:rPr>
          <w:rFonts w:ascii="SimSun" w:hAnsi="SimSun" w:eastAsia="SimSun" w:cs="SimSun"/>
          <w:b w:val="0"/>
          <w:color w:val="000000"/>
          <w:sz w:val="22"/>
        </w:rPr>
        <w:t>。各功能共用交易来源和分析日期，分别回答不同的业务问题。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1.2 主要工具及用途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 w:cs="Microsoft YaHei"/>
          <w:b w:val="0"/>
          <w:color w:val="555555"/>
          <w:sz w:val="18"/>
        </w:rPr>
        <w:t>表1-1 主要工具及其用途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00"/>
      </w:tblGrid>
      <w:tr>
        <w:trPr>
          <w:cantSplit/>
          <w:tblHeader/>
        </w:trPr>
        <w:tc>
          <w:tcPr>
            <w:tcW w:type="dxa" w:w="2381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7200"/>
            <w:vAlign w:val="center"/>
            <w:shd w:fill="244C78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在项目中的用途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Python</w:t>
            </w:r>
          </w:p>
        </w:tc>
        <w:tc>
          <w:tcPr>
            <w:tcW w:type="dxa" w:w="720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主要开发语言，连接数据处理、模型训练与页面分析。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Pandas 与 NumPy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读取交易、处理日期和缺失值，按客户与时间窗口汇总特征。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scikit-learn</w:t>
            </w:r>
          </w:p>
        </w:tc>
        <w:tc>
          <w:tcPr>
            <w:tcW w:type="dxa" w:w="720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完成预处理、聚类与逻辑回归建模，并计算评价指标。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XGBoost 与 LightGBM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训练梯度提升树，学习购买时间、频次和金额之间的组合关系。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Streamlit</w:t>
            </w:r>
          </w:p>
        </w:tc>
        <w:tc>
          <w:tcPr>
            <w:tcW w:type="dxa" w:w="720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构建数据导入和四个分析页面，提供筛选、图表查看与名单导出。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Plotly 与 Matplotlib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分别用于页面交互图表和离线实验图。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Joblib</w:t>
            </w:r>
          </w:p>
        </w:tc>
        <w:tc>
          <w:tcPr>
            <w:tcW w:type="dxa" w:w="720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保存和加载模型，使页面复用已经训练好的方案。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Git 与 Git LFS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管理代码版本及指定的大型数据、模型和结果文件。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unittest</w:t>
            </w:r>
          </w:p>
        </w:tc>
        <w:tc>
          <w:tcPr>
            <w:tcW w:type="dxa" w:w="7200"/>
            <w:vAlign w:val="center"/>
            <w:shd w:fill="F3F7FB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before="0" w:after="0" w:line="281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检查特征计算、模型评分、推荐名单和页面功能。</w:t>
            </w:r>
          </w:p>
        </w:tc>
      </w:tr>
    </w:tbl>
    <w:p>
      <w:pPr>
        <w:spacing w:after="0" w:before="0" w:line="72" w:lineRule="auto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1.3 核心技术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数据清洗与客户快照。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合并两份年度交易表，统一字段与日期格式，去除重复、缺少客户ID、取消订单及不合格商品记录。随后按“客户＋分析日期”汇总购买情况，将分散的交易变为模型可以比较的一行特征。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时间窗口与特征处理。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以分析日为界，主要从此前180天计算购买间隔、订单数、消费额、客单价和商品种数，并用近30天、90天统计反映近期变化。聚类和线性模型按需要进行长尾变换、标准化及缺失值处理；各模块再补充与自身目标相关的特征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按时间验证。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训练期为2010年6月至2011年5月，验证期为2011年6—8月，测试期复核为2011年9—11月。参数在训练期内按时间向前比较，方案根据验证期确定，再以固定方案检查后续月份。每个样本的输入来自分析日前，答案来自之后30天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模型比较与特征对照。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聚类比较不同算法与群数；复购比较线性模型、非线性模型和不同特征组；消费潜力将学习模型与历史金额规则比较；推荐先比较五种方法，再比较加入画像与商品关联后的效果。比较时统一同一任务的客户、月份和候选范围，并检查跨月表现与抽样稳定性。</w:t>
      </w:r>
    </w:p>
    <w:p>
      <w:pPr>
        <w:keepNext w:val="0"/>
        <w:spacing w:after="120"/>
      </w:pPr>
      <w:r>
        <w:rPr>
          <w:rFonts w:ascii="SimSun" w:hAnsi="SimSun" w:eastAsia="SimSun" w:cs="SimSun"/>
          <w:b/>
          <w:color w:val="000000"/>
          <w:sz w:val="22"/>
        </w:rPr>
        <w:t>商品级学习与推荐。</w:t>
      </w:r>
      <w:r>
        <w:rPr>
          <w:rFonts w:ascii="SimSun" w:hAnsi="SimSun" w:eastAsia="SimSun" w:cs="SimSun"/>
          <w:b w:val="0"/>
          <w:color w:val="000000"/>
          <w:sz w:val="22"/>
        </w:rPr>
        <w:t xml:space="preserve"> 将“某位客户＋某件商品”作为一个样本，学习它是否会出现在下一单。为控制训练规模，对未购买商品进行抽样，各方案共用样本；评价与页面使用时对完整候选商品库打分，为每位客户选出前10件。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1.4 复现与质量检查</w:t>
      </w:r>
    </w:p>
    <w:p>
      <w:pPr>
        <w:keepNext w:val="0"/>
        <w:spacing w:after="120"/>
      </w:pPr>
      <w:r>
        <w:rPr>
          <w:rFonts w:ascii="SimSun" w:hAnsi="SimSun" w:eastAsia="SimSun" w:cs="SimSun"/>
          <w:b w:val="0"/>
          <w:color w:val="000000"/>
          <w:sz w:val="22"/>
        </w:rPr>
        <w:t>项目记录依赖版本、随机种子、特征清单及模型配置，保存实验结果和最终模型。页面直接复用离线阶段的特征计算方式，使训练与页面分析沿用相同口径。自动化测试覆盖时间边界、模型保存后的评分一致性、推荐名单，以及页面筛选和导出行为，支持后续修改与回归检查。</w:t>
      </w:r>
    </w:p>
    <w:sectPr w:rsidR="00FC693F" w:rsidRPr="0006063C" w:rsidSect="00034616">
      <w:footerReference w:type="default" r:id="rId9"/>
      <w:pgSz w:w="11906" w:h="16838"/>
      <w:pgMar w:top="1077" w:right="1162" w:bottom="1077" w:left="1162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80" w:after="18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使用的工具与技术</dc:title>
  <dc:subject>电商客户分析项目最终报告</dc:subject>
  <dc:creator/>
  <cp:keywords>客户分群 复购预测 消费潜力 商品推荐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